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A2E9AFE" w:rsidR="00E66558" w:rsidRDefault="00CB3E4B" w:rsidP="00CB3E4B">
      <w:pPr>
        <w:pStyle w:val="Heading1"/>
        <w:jc w:val="center"/>
      </w:pPr>
      <w:bookmarkStart w:id="0" w:name="_Toc400361362"/>
      <w:bookmarkStart w:id="1" w:name="_Toc443397153"/>
      <w:bookmarkStart w:id="2" w:name="_Toc357771638"/>
      <w:bookmarkStart w:id="3" w:name="_Toc346793416"/>
      <w:bookmarkStart w:id="4" w:name="_Toc328122777"/>
      <w:proofErr w:type="spellStart"/>
      <w:r>
        <w:t>Sharlston</w:t>
      </w:r>
      <w:proofErr w:type="spellEnd"/>
      <w:r>
        <w:t xml:space="preserve"> Community School                                     202</w:t>
      </w:r>
      <w:r w:rsidR="005D0840">
        <w:t>3</w:t>
      </w:r>
      <w:r>
        <w:t xml:space="preserve"> - 202</w:t>
      </w:r>
      <w:r w:rsidR="005D0840">
        <w:t>4</w:t>
      </w:r>
      <w:r>
        <w:t xml:space="preserve"> </w:t>
      </w:r>
      <w:r w:rsidR="009D71E8">
        <w:t xml:space="preserve">Pupil </w:t>
      </w:r>
      <w:r w:rsidR="005D0840">
        <w:t>P</w:t>
      </w:r>
      <w:r w:rsidR="009D71E8">
        <w:t xml:space="preserve">remium </w:t>
      </w:r>
      <w:r w:rsidR="005D0840">
        <w:t>S</w:t>
      </w:r>
      <w:r w:rsidR="009D71E8">
        <w:t xml:space="preserve">trategy </w:t>
      </w:r>
      <w:r w:rsidR="005D0840">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3" w14:textId="38FCC2DD" w:rsidR="00E66558" w:rsidRDefault="009D71E8" w:rsidP="003D314A">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r w:rsidR="003D314A">
        <w:rPr>
          <w:b w:val="0"/>
          <w:bCs/>
          <w:color w:val="auto"/>
          <w:sz w:val="24"/>
          <w:szCs w:val="24"/>
        </w:rPr>
        <w:t>I</w:t>
      </w:r>
      <w:r>
        <w:rPr>
          <w:b w:val="0"/>
          <w:bCs/>
          <w:color w:val="auto"/>
          <w:sz w:val="24"/>
          <w:szCs w:val="24"/>
        </w:rPr>
        <w:t xml:space="preserve">t outlines our pupil premium strategy, how we intend to spend the funding in this academic year and the effect that last year’s spending of pupil premium had within our school. </w:t>
      </w:r>
    </w:p>
    <w:p w14:paraId="049A8A30" w14:textId="232F6EA7" w:rsidR="003D314A" w:rsidRDefault="003D314A" w:rsidP="003D314A">
      <w:r>
        <w:t>Pupil Premium is additional funding provided to the school based on the number of pupils who are currently receiving, or have received Free School Meals (</w:t>
      </w:r>
      <w:proofErr w:type="spellStart"/>
      <w:r>
        <w:t>fsm</w:t>
      </w:r>
      <w:proofErr w:type="spellEnd"/>
      <w:r>
        <w:t>) within the last six years, for Looked After Children and for children whose parents are in the armed forces.</w:t>
      </w:r>
    </w:p>
    <w:p w14:paraId="6DB4D29C" w14:textId="65243768" w:rsidR="003D314A" w:rsidRPr="003D314A" w:rsidRDefault="003D314A" w:rsidP="003D314A">
      <w:r>
        <w:t>It is additional funding given to schools in order to address the inequalities and ensure equity between children eligible for free school meals and their peers. It is our duty to use the Pupil Premium funding effectively in order to raise achievement and diminish the difference between these children and their peers both at a school and at a national level.</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604" w:type="pct"/>
        <w:tblInd w:w="-431" w:type="dxa"/>
        <w:tblCellMar>
          <w:left w:w="10" w:type="dxa"/>
          <w:right w:w="10" w:type="dxa"/>
        </w:tblCellMar>
        <w:tblLook w:val="04A0" w:firstRow="1" w:lastRow="0" w:firstColumn="1" w:lastColumn="0" w:noHBand="0" w:noVBand="1"/>
      </w:tblPr>
      <w:tblGrid>
        <w:gridCol w:w="6948"/>
        <w:gridCol w:w="3684"/>
      </w:tblGrid>
      <w:tr w:rsidR="00E66558" w14:paraId="2A7D54B7" w14:textId="77777777" w:rsidTr="003D314A">
        <w:tc>
          <w:tcPr>
            <w:tcW w:w="69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6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3D314A">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3DC0F710" w:rsidR="00E66558" w:rsidRDefault="00AC3740">
            <w:pPr>
              <w:pStyle w:val="TableRow"/>
            </w:pPr>
            <w:r>
              <w:t>School name</w:t>
            </w:r>
            <w:r w:rsidR="00C10F99">
              <w:t xml:space="preserve">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07B15E1" w:rsidR="00E66558" w:rsidRDefault="00AC3740">
            <w:pPr>
              <w:pStyle w:val="TableRow"/>
            </w:pPr>
            <w:proofErr w:type="spellStart"/>
            <w:r>
              <w:t>Sharlston</w:t>
            </w:r>
            <w:proofErr w:type="spellEnd"/>
            <w:r>
              <w:t xml:space="preserve"> Community School</w:t>
            </w:r>
          </w:p>
        </w:tc>
      </w:tr>
      <w:tr w:rsidR="00E66558" w14:paraId="2A7D54BD" w14:textId="77777777" w:rsidTr="003D314A">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3FB446B" w:rsidR="00E66558" w:rsidRDefault="0065480B">
            <w:pPr>
              <w:pStyle w:val="TableRow"/>
            </w:pPr>
            <w:r>
              <w:t>2</w:t>
            </w:r>
            <w:r w:rsidR="000E2C9A">
              <w:t>46</w:t>
            </w:r>
            <w:r>
              <w:t xml:space="preserve"> Rec-Y6</w:t>
            </w:r>
          </w:p>
        </w:tc>
      </w:tr>
      <w:tr w:rsidR="00E66558" w14:paraId="2A7D54C0" w14:textId="77777777" w:rsidTr="003D314A">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283A602" w:rsidR="00E66558" w:rsidRDefault="00AC3740">
            <w:pPr>
              <w:pStyle w:val="TableRow"/>
            </w:pPr>
            <w:r>
              <w:t>31%</w:t>
            </w:r>
          </w:p>
        </w:tc>
      </w:tr>
      <w:tr w:rsidR="00E66558" w14:paraId="2A7D54C3" w14:textId="77777777" w:rsidTr="003D314A">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DBF5" w14:textId="77777777" w:rsidR="00E66558" w:rsidRDefault="00121EB0">
            <w:pPr>
              <w:pStyle w:val="TableRow"/>
            </w:pPr>
            <w:r>
              <w:t>3</w:t>
            </w:r>
          </w:p>
          <w:p w14:paraId="2A7D54C2" w14:textId="4C913F3E" w:rsidR="000C2F0C" w:rsidRDefault="000C2F0C">
            <w:pPr>
              <w:pStyle w:val="TableRow"/>
            </w:pPr>
            <w:r>
              <w:t>2021-2024</w:t>
            </w:r>
          </w:p>
        </w:tc>
      </w:tr>
      <w:tr w:rsidR="00E66558" w14:paraId="2A7D54C6" w14:textId="77777777" w:rsidTr="003D314A">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B6BFD69" w:rsidR="00E66558" w:rsidRDefault="00121EB0">
            <w:pPr>
              <w:pStyle w:val="TableRow"/>
            </w:pPr>
            <w:r>
              <w:t>December 202</w:t>
            </w:r>
            <w:r w:rsidR="005D0840">
              <w:t>3</w:t>
            </w:r>
          </w:p>
        </w:tc>
      </w:tr>
      <w:tr w:rsidR="00E66558" w14:paraId="2A7D54C9" w14:textId="77777777" w:rsidTr="003D314A">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6CB2019" w:rsidR="00E66558" w:rsidRDefault="00AC3740">
            <w:pPr>
              <w:pStyle w:val="TableRow"/>
            </w:pPr>
            <w:r>
              <w:t>September 202</w:t>
            </w:r>
            <w:r w:rsidR="005D0840">
              <w:t>4</w:t>
            </w:r>
          </w:p>
        </w:tc>
      </w:tr>
      <w:tr w:rsidR="00E66558" w14:paraId="2A7D54CC" w14:textId="77777777" w:rsidTr="003D314A">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6892E94" w:rsidR="00E66558" w:rsidRDefault="00AC3740">
            <w:pPr>
              <w:pStyle w:val="TableRow"/>
            </w:pPr>
            <w:r>
              <w:t>Julie Dunderdale</w:t>
            </w:r>
          </w:p>
        </w:tc>
      </w:tr>
      <w:tr w:rsidR="00E66558" w14:paraId="2A7D54CF" w14:textId="77777777" w:rsidTr="003D314A">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B10A175" w:rsidR="00E66558" w:rsidRDefault="00AC3740">
            <w:pPr>
              <w:pStyle w:val="TableRow"/>
            </w:pPr>
            <w:r>
              <w:t>Vicki Murray</w:t>
            </w:r>
          </w:p>
        </w:tc>
      </w:tr>
      <w:tr w:rsidR="00E66558" w14:paraId="2A7D54D2" w14:textId="77777777" w:rsidTr="003D314A">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D905F74" w:rsidR="00E66558" w:rsidRDefault="005D0840">
            <w:pPr>
              <w:pStyle w:val="TableRow"/>
            </w:pPr>
            <w:r>
              <w:t>Rachel Maryse Coyle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10632" w:type="dxa"/>
        <w:tblInd w:w="-431" w:type="dxa"/>
        <w:tblCellMar>
          <w:left w:w="10" w:type="dxa"/>
          <w:right w:w="10" w:type="dxa"/>
        </w:tblCellMar>
        <w:tblLook w:val="04A0" w:firstRow="1" w:lastRow="0" w:firstColumn="1" w:lastColumn="0" w:noHBand="0" w:noVBand="1"/>
      </w:tblPr>
      <w:tblGrid>
        <w:gridCol w:w="6947"/>
        <w:gridCol w:w="3685"/>
      </w:tblGrid>
      <w:tr w:rsidR="00E66558" w14:paraId="2A7D54D6" w14:textId="77777777" w:rsidTr="003D314A">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3D314A">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D94FCF2" w:rsidR="00E66558" w:rsidRDefault="000C2F0C">
            <w:pPr>
              <w:pStyle w:val="TableRow"/>
            </w:pPr>
            <w:r>
              <w:t>£10</w:t>
            </w:r>
            <w:r w:rsidR="00E11321">
              <w:t>5,390</w:t>
            </w:r>
          </w:p>
        </w:tc>
      </w:tr>
      <w:tr w:rsidR="00E66558" w14:paraId="2A7D54DC" w14:textId="77777777" w:rsidTr="003D314A">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18D527B" w:rsidR="00E66558" w:rsidRDefault="00E66558" w:rsidP="00121EB0">
            <w:pPr>
              <w:pStyle w:val="TableRow"/>
              <w:ind w:left="0"/>
            </w:pPr>
          </w:p>
        </w:tc>
      </w:tr>
      <w:tr w:rsidR="00E66558" w14:paraId="2A7D54DF" w14:textId="77777777" w:rsidTr="003D314A">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4C5BC32" w:rsidR="00E66558" w:rsidRDefault="009D71E8">
            <w:pPr>
              <w:pStyle w:val="TableRow"/>
            </w:pPr>
            <w:r>
              <w:t>£</w:t>
            </w:r>
            <w:r w:rsidR="00AC3740">
              <w:t>0</w:t>
            </w:r>
          </w:p>
        </w:tc>
      </w:tr>
      <w:tr w:rsidR="00E66558" w14:paraId="2A7D54E3" w14:textId="77777777" w:rsidTr="003D314A">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50BBE860" w:rsidR="00E66558" w:rsidRPr="003D314A" w:rsidRDefault="009D71E8" w:rsidP="003D314A">
            <w:pPr>
              <w:pStyle w:val="TableRow"/>
              <w:rPr>
                <w:b/>
              </w:rPr>
            </w:pPr>
            <w:r>
              <w:rPr>
                <w:b/>
              </w:rPr>
              <w:t>Total budget for this academic yea</w:t>
            </w:r>
            <w:r w:rsidR="003D314A">
              <w:rPr>
                <w:b/>
              </w:rPr>
              <w:t>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F8A553C" w:rsidR="00E66558" w:rsidRDefault="00211015" w:rsidP="00121EB0">
            <w:pPr>
              <w:pStyle w:val="TableRow"/>
              <w:ind w:left="0"/>
            </w:pPr>
            <w:r>
              <w:t>£10</w:t>
            </w:r>
            <w:r w:rsidR="00E11321">
              <w:t>5,390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A7A0E" w14:textId="6C2E3A02" w:rsidR="00DD4693" w:rsidRDefault="003D314A" w:rsidP="009E7C71">
            <w:pPr>
              <w:rPr>
                <w:rFonts w:asciiTheme="minorHAnsi" w:hAnsiTheme="minorHAnsi" w:cstheme="minorHAnsi"/>
                <w:sz w:val="22"/>
                <w:szCs w:val="22"/>
              </w:rPr>
            </w:pPr>
            <w:r w:rsidRPr="00DD4693">
              <w:rPr>
                <w:rFonts w:asciiTheme="minorHAnsi" w:hAnsiTheme="minorHAnsi" w:cstheme="minorHAnsi"/>
                <w:sz w:val="22"/>
                <w:szCs w:val="22"/>
              </w:rPr>
              <w:t xml:space="preserve">Our intention is that all our pupils, irrespective of their background or the challenges they face, make good progress and achieve their full potential across all subject areas. The focus of our pupil premium strategy is to support disadvantaged pupils to </w:t>
            </w:r>
            <w:r w:rsidR="00DD4693" w:rsidRPr="00DD4693">
              <w:rPr>
                <w:rFonts w:asciiTheme="minorHAnsi" w:hAnsiTheme="minorHAnsi" w:cstheme="minorHAnsi"/>
                <w:sz w:val="22"/>
                <w:szCs w:val="22"/>
              </w:rPr>
              <w:t>achieve</w:t>
            </w:r>
            <w:r w:rsidRPr="00DD4693">
              <w:rPr>
                <w:rFonts w:asciiTheme="minorHAnsi" w:hAnsiTheme="minorHAnsi" w:cstheme="minorHAnsi"/>
                <w:sz w:val="22"/>
                <w:szCs w:val="22"/>
              </w:rPr>
              <w:t xml:space="preserve"> that goal. </w:t>
            </w:r>
          </w:p>
          <w:p w14:paraId="2EBB8D73" w14:textId="6E0C267C" w:rsidR="00DD4693" w:rsidRDefault="00DD4693" w:rsidP="009E7C71">
            <w:pPr>
              <w:rPr>
                <w:rFonts w:asciiTheme="minorHAnsi" w:hAnsiTheme="minorHAnsi" w:cstheme="minorHAnsi"/>
                <w:sz w:val="22"/>
                <w:szCs w:val="22"/>
              </w:rPr>
            </w:pPr>
            <w:r>
              <w:rPr>
                <w:rFonts w:asciiTheme="minorHAnsi" w:hAnsiTheme="minorHAnsi" w:cstheme="minorHAnsi"/>
                <w:sz w:val="22"/>
                <w:szCs w:val="22"/>
              </w:rPr>
              <w:t xml:space="preserve">At </w:t>
            </w:r>
            <w:proofErr w:type="spellStart"/>
            <w:r>
              <w:rPr>
                <w:rFonts w:asciiTheme="minorHAnsi" w:hAnsiTheme="minorHAnsi" w:cstheme="minorHAnsi"/>
                <w:sz w:val="22"/>
                <w:szCs w:val="22"/>
              </w:rPr>
              <w:t>Sharlston</w:t>
            </w:r>
            <w:proofErr w:type="spellEnd"/>
            <w:r>
              <w:rPr>
                <w:rFonts w:asciiTheme="minorHAnsi" w:hAnsiTheme="minorHAnsi" w:cstheme="minorHAnsi"/>
                <w:sz w:val="22"/>
                <w:szCs w:val="22"/>
              </w:rPr>
              <w:t xml:space="preserve"> Community School our main priority is to ensure that all our children have access to high quality teaching across the curriculum. We prioritise the development of our staff to ensure they have the necessary skills and knowledge to continually improve practice and can respond swiftly and effectively if or when any child experiences challenges that may affect their learning. </w:t>
            </w:r>
          </w:p>
          <w:p w14:paraId="6EE27E4C" w14:textId="77777777" w:rsidR="00DD4693" w:rsidRDefault="00523EC3" w:rsidP="009E7C71">
            <w:pPr>
              <w:rPr>
                <w:rFonts w:asciiTheme="minorHAnsi" w:hAnsiTheme="minorHAnsi" w:cstheme="minorHAnsi"/>
                <w:sz w:val="22"/>
                <w:szCs w:val="22"/>
              </w:rPr>
            </w:pPr>
            <w:r w:rsidRPr="00DD4693">
              <w:rPr>
                <w:rFonts w:asciiTheme="minorHAnsi" w:hAnsiTheme="minorHAnsi" w:cstheme="minorHAnsi"/>
                <w:sz w:val="22"/>
                <w:szCs w:val="22"/>
              </w:rPr>
              <w:t xml:space="preserve">There are a </w:t>
            </w:r>
            <w:r w:rsidR="00DD4693">
              <w:rPr>
                <w:rFonts w:asciiTheme="minorHAnsi" w:hAnsiTheme="minorHAnsi" w:cstheme="minorHAnsi"/>
                <w:sz w:val="22"/>
                <w:szCs w:val="22"/>
              </w:rPr>
              <w:t>variety</w:t>
            </w:r>
            <w:r w:rsidRPr="00DD4693">
              <w:rPr>
                <w:rFonts w:asciiTheme="minorHAnsi" w:hAnsiTheme="minorHAnsi" w:cstheme="minorHAnsi"/>
                <w:sz w:val="22"/>
                <w:szCs w:val="22"/>
              </w:rPr>
              <w:t xml:space="preserve"> of </w:t>
            </w:r>
            <w:r w:rsidR="00DD4693">
              <w:rPr>
                <w:rFonts w:asciiTheme="minorHAnsi" w:hAnsiTheme="minorHAnsi" w:cstheme="minorHAnsi"/>
                <w:sz w:val="22"/>
                <w:szCs w:val="22"/>
              </w:rPr>
              <w:t>challenges faced by some of the children</w:t>
            </w:r>
            <w:r w:rsidRPr="00DD4693">
              <w:rPr>
                <w:rFonts w:asciiTheme="minorHAnsi" w:hAnsiTheme="minorHAnsi" w:cstheme="minorHAnsi"/>
                <w:sz w:val="22"/>
                <w:szCs w:val="22"/>
              </w:rPr>
              <w:t xml:space="preserve"> attending our school</w:t>
            </w:r>
            <w:r w:rsidR="00DD4693">
              <w:rPr>
                <w:rFonts w:asciiTheme="minorHAnsi" w:hAnsiTheme="minorHAnsi" w:cstheme="minorHAnsi"/>
                <w:sz w:val="22"/>
                <w:szCs w:val="22"/>
              </w:rPr>
              <w:t xml:space="preserve"> such as; attendance, neglect, emotional difficulties linked to attachment, behavioural issues linked to family experiences, learning disabilities, mental health and emotional wellbeing.</w:t>
            </w:r>
          </w:p>
          <w:p w14:paraId="1C4144A7" w14:textId="0013728E" w:rsidR="00DD4693" w:rsidRDefault="00DD4693" w:rsidP="009E7C71">
            <w:pPr>
              <w:rPr>
                <w:rFonts w:asciiTheme="minorHAnsi" w:hAnsiTheme="minorHAnsi" w:cstheme="minorHAnsi"/>
                <w:sz w:val="22"/>
                <w:szCs w:val="22"/>
              </w:rPr>
            </w:pPr>
            <w:r>
              <w:rPr>
                <w:rFonts w:asciiTheme="minorHAnsi" w:hAnsiTheme="minorHAnsi" w:cstheme="minorHAnsi"/>
                <w:sz w:val="22"/>
                <w:szCs w:val="22"/>
              </w:rPr>
              <w:t xml:space="preserve"> </w:t>
            </w:r>
            <w:r w:rsidR="00523EC3" w:rsidRPr="00DD4693">
              <w:rPr>
                <w:rFonts w:asciiTheme="minorHAnsi" w:hAnsiTheme="minorHAnsi" w:cstheme="minorHAnsi"/>
                <w:sz w:val="22"/>
                <w:szCs w:val="22"/>
              </w:rPr>
              <w:t>We believe one of the biggest barriers for children can b</w:t>
            </w:r>
            <w:r w:rsidR="00517315" w:rsidRPr="00DD4693">
              <w:rPr>
                <w:rFonts w:asciiTheme="minorHAnsi" w:hAnsiTheme="minorHAnsi" w:cstheme="minorHAnsi"/>
                <w:sz w:val="22"/>
                <w:szCs w:val="22"/>
              </w:rPr>
              <w:t>e poverty of expectation, so we promot</w:t>
            </w:r>
            <w:r w:rsidR="00211015" w:rsidRPr="00DD4693">
              <w:rPr>
                <w:rFonts w:asciiTheme="minorHAnsi" w:hAnsiTheme="minorHAnsi" w:cstheme="minorHAnsi"/>
                <w:sz w:val="22"/>
                <w:szCs w:val="22"/>
              </w:rPr>
              <w:t>e</w:t>
            </w:r>
            <w:r w:rsidR="00517315" w:rsidRPr="00DD4693">
              <w:rPr>
                <w:rFonts w:asciiTheme="minorHAnsi" w:hAnsiTheme="minorHAnsi" w:cstheme="minorHAnsi"/>
                <w:sz w:val="22"/>
                <w:szCs w:val="22"/>
              </w:rPr>
              <w:t xml:space="preserve"> </w:t>
            </w:r>
            <w:r w:rsidR="00523EC3" w:rsidRPr="00DD4693">
              <w:rPr>
                <w:rFonts w:asciiTheme="minorHAnsi" w:hAnsiTheme="minorHAnsi" w:cstheme="minorHAnsi"/>
                <w:sz w:val="22"/>
                <w:szCs w:val="22"/>
              </w:rPr>
              <w:t xml:space="preserve">a culture of actively encouraging every child to reach their full potential and shine. Our Challenge Curriculum </w:t>
            </w:r>
            <w:r w:rsidR="00211015" w:rsidRPr="00DD4693">
              <w:rPr>
                <w:rFonts w:asciiTheme="minorHAnsi" w:hAnsiTheme="minorHAnsi" w:cstheme="minorHAnsi"/>
                <w:sz w:val="22"/>
                <w:szCs w:val="22"/>
              </w:rPr>
              <w:t xml:space="preserve">is </w:t>
            </w:r>
            <w:r w:rsidR="00523EC3" w:rsidRPr="00DD4693">
              <w:rPr>
                <w:rFonts w:asciiTheme="minorHAnsi" w:hAnsiTheme="minorHAnsi" w:cstheme="minorHAnsi"/>
                <w:sz w:val="22"/>
                <w:szCs w:val="22"/>
              </w:rPr>
              <w:t xml:space="preserve">designed </w:t>
            </w:r>
            <w:r w:rsidR="00211015" w:rsidRPr="00DD4693">
              <w:rPr>
                <w:rFonts w:asciiTheme="minorHAnsi" w:hAnsiTheme="minorHAnsi" w:cstheme="minorHAnsi"/>
                <w:sz w:val="22"/>
                <w:szCs w:val="22"/>
              </w:rPr>
              <w:t xml:space="preserve">into a ‘SHINE’ curriculum </w:t>
            </w:r>
            <w:r w:rsidR="00523EC3" w:rsidRPr="00DD4693">
              <w:rPr>
                <w:rFonts w:asciiTheme="minorHAnsi" w:hAnsiTheme="minorHAnsi" w:cstheme="minorHAnsi"/>
                <w:sz w:val="22"/>
                <w:szCs w:val="22"/>
              </w:rPr>
              <w:t xml:space="preserve">with rich </w:t>
            </w:r>
            <w:r w:rsidR="00211015" w:rsidRPr="00DD4693">
              <w:rPr>
                <w:rFonts w:asciiTheme="minorHAnsi" w:hAnsiTheme="minorHAnsi" w:cstheme="minorHAnsi"/>
                <w:sz w:val="22"/>
                <w:szCs w:val="22"/>
              </w:rPr>
              <w:t xml:space="preserve">opportunities </w:t>
            </w:r>
            <w:r w:rsidR="00067172" w:rsidRPr="00DD4693">
              <w:rPr>
                <w:rFonts w:asciiTheme="minorHAnsi" w:hAnsiTheme="minorHAnsi" w:cstheme="minorHAnsi"/>
                <w:sz w:val="22"/>
                <w:szCs w:val="22"/>
              </w:rPr>
              <w:t>to raise our pupils’</w:t>
            </w:r>
            <w:r w:rsidR="00523EC3" w:rsidRPr="00DD4693">
              <w:rPr>
                <w:rFonts w:asciiTheme="minorHAnsi" w:hAnsiTheme="minorHAnsi" w:cstheme="minorHAnsi"/>
                <w:sz w:val="22"/>
                <w:szCs w:val="22"/>
              </w:rPr>
              <w:t xml:space="preserve"> aspirations, increase their motivation to work hard and succeed, and broaden their future horizons. </w:t>
            </w:r>
          </w:p>
          <w:p w14:paraId="077891FC" w14:textId="06466446" w:rsidR="00A63116" w:rsidRDefault="00523EC3" w:rsidP="009E7C71">
            <w:pPr>
              <w:rPr>
                <w:rFonts w:asciiTheme="minorHAnsi" w:hAnsiTheme="minorHAnsi" w:cstheme="minorHAnsi"/>
                <w:sz w:val="22"/>
                <w:szCs w:val="22"/>
              </w:rPr>
            </w:pPr>
            <w:r w:rsidRPr="00DD4693">
              <w:rPr>
                <w:rFonts w:asciiTheme="minorHAnsi" w:hAnsiTheme="minorHAnsi" w:cstheme="minorHAnsi"/>
                <w:sz w:val="22"/>
                <w:szCs w:val="22"/>
              </w:rPr>
              <w:t xml:space="preserve">Promoting the importance of regular attendance is a key area, and although improving due to rigorous work by </w:t>
            </w:r>
            <w:r w:rsidR="00067B9A">
              <w:rPr>
                <w:rFonts w:asciiTheme="minorHAnsi" w:hAnsiTheme="minorHAnsi" w:cstheme="minorHAnsi"/>
                <w:sz w:val="22"/>
                <w:szCs w:val="22"/>
              </w:rPr>
              <w:t xml:space="preserve">the </w:t>
            </w:r>
            <w:r w:rsidRPr="00DD4693">
              <w:rPr>
                <w:rFonts w:asciiTheme="minorHAnsi" w:hAnsiTheme="minorHAnsi" w:cstheme="minorHAnsi"/>
                <w:sz w:val="22"/>
                <w:szCs w:val="22"/>
              </w:rPr>
              <w:t>school</w:t>
            </w:r>
            <w:r w:rsidR="00067B9A">
              <w:rPr>
                <w:rFonts w:asciiTheme="minorHAnsi" w:hAnsiTheme="minorHAnsi" w:cstheme="minorHAnsi"/>
                <w:sz w:val="22"/>
                <w:szCs w:val="22"/>
              </w:rPr>
              <w:t xml:space="preserve"> attendance team</w:t>
            </w:r>
            <w:r w:rsidRPr="00DD4693">
              <w:rPr>
                <w:rFonts w:asciiTheme="minorHAnsi" w:hAnsiTheme="minorHAnsi" w:cstheme="minorHAnsi"/>
                <w:sz w:val="22"/>
                <w:szCs w:val="22"/>
              </w:rPr>
              <w:t xml:space="preserve">, </w:t>
            </w:r>
            <w:r w:rsidR="00A63116">
              <w:rPr>
                <w:rFonts w:asciiTheme="minorHAnsi" w:hAnsiTheme="minorHAnsi" w:cstheme="minorHAnsi"/>
                <w:sz w:val="22"/>
                <w:szCs w:val="22"/>
              </w:rPr>
              <w:t xml:space="preserve">led by the Deputy Head, </w:t>
            </w:r>
            <w:r w:rsidRPr="00DD4693">
              <w:rPr>
                <w:rFonts w:asciiTheme="minorHAnsi" w:hAnsiTheme="minorHAnsi" w:cstheme="minorHAnsi"/>
                <w:sz w:val="22"/>
                <w:szCs w:val="22"/>
              </w:rPr>
              <w:t xml:space="preserve">attendance continues to be an issue with Pupil Premium families. </w:t>
            </w:r>
            <w:r w:rsidR="00067B9A">
              <w:rPr>
                <w:rFonts w:asciiTheme="minorHAnsi" w:hAnsiTheme="minorHAnsi" w:cstheme="minorHAnsi"/>
                <w:sz w:val="22"/>
                <w:szCs w:val="22"/>
              </w:rPr>
              <w:t xml:space="preserve">The team closely monitors attendance, intervening, offering guidance and </w:t>
            </w:r>
            <w:r w:rsidR="00ED6183">
              <w:rPr>
                <w:rFonts w:asciiTheme="minorHAnsi" w:hAnsiTheme="minorHAnsi" w:cstheme="minorHAnsi"/>
                <w:sz w:val="22"/>
                <w:szCs w:val="22"/>
              </w:rPr>
              <w:t xml:space="preserve">giving </w:t>
            </w:r>
            <w:r w:rsidR="00067B9A">
              <w:rPr>
                <w:rFonts w:asciiTheme="minorHAnsi" w:hAnsiTheme="minorHAnsi" w:cstheme="minorHAnsi"/>
                <w:sz w:val="22"/>
                <w:szCs w:val="22"/>
              </w:rPr>
              <w:t xml:space="preserve">support where needed to overcome </w:t>
            </w:r>
            <w:r w:rsidR="00ED6183">
              <w:rPr>
                <w:rFonts w:asciiTheme="minorHAnsi" w:hAnsiTheme="minorHAnsi" w:cstheme="minorHAnsi"/>
                <w:sz w:val="22"/>
                <w:szCs w:val="22"/>
              </w:rPr>
              <w:t xml:space="preserve">any challenges faced by families. </w:t>
            </w:r>
          </w:p>
          <w:p w14:paraId="270FA69B" w14:textId="722869DF" w:rsidR="00523EC3" w:rsidRPr="00DD4693" w:rsidRDefault="00CA11F7" w:rsidP="009E7C71">
            <w:pPr>
              <w:rPr>
                <w:rFonts w:asciiTheme="minorHAnsi" w:hAnsiTheme="minorHAnsi" w:cstheme="minorHAnsi"/>
                <w:sz w:val="22"/>
                <w:szCs w:val="22"/>
              </w:rPr>
            </w:pPr>
            <w:r w:rsidRPr="00DD4693">
              <w:rPr>
                <w:rFonts w:asciiTheme="minorHAnsi" w:hAnsiTheme="minorHAnsi" w:cstheme="minorHAnsi"/>
                <w:sz w:val="22"/>
                <w:szCs w:val="22"/>
              </w:rPr>
              <w:t xml:space="preserve">A large number of our disadvantaged pupils also face chaotic family lives, with additional adverse traumas that affect their emotional </w:t>
            </w:r>
            <w:r w:rsidR="00211015" w:rsidRPr="00DD4693">
              <w:rPr>
                <w:rFonts w:asciiTheme="minorHAnsi" w:hAnsiTheme="minorHAnsi" w:cstheme="minorHAnsi"/>
                <w:sz w:val="22"/>
                <w:szCs w:val="22"/>
              </w:rPr>
              <w:t>well-being</w:t>
            </w:r>
            <w:r w:rsidRPr="00DD4693">
              <w:rPr>
                <w:rFonts w:asciiTheme="minorHAnsi" w:hAnsiTheme="minorHAnsi" w:cstheme="minorHAnsi"/>
                <w:sz w:val="22"/>
                <w:szCs w:val="22"/>
              </w:rPr>
              <w:t>.</w:t>
            </w:r>
            <w:r w:rsidR="00DD4693">
              <w:rPr>
                <w:rFonts w:asciiTheme="minorHAnsi" w:hAnsiTheme="minorHAnsi" w:cstheme="minorHAnsi"/>
                <w:sz w:val="22"/>
                <w:szCs w:val="22"/>
              </w:rPr>
              <w:t xml:space="preserve"> Our Pastoral Manager </w:t>
            </w:r>
            <w:r w:rsidR="00A63116">
              <w:rPr>
                <w:rFonts w:asciiTheme="minorHAnsi" w:hAnsiTheme="minorHAnsi" w:cstheme="minorHAnsi"/>
                <w:sz w:val="22"/>
                <w:szCs w:val="22"/>
              </w:rPr>
              <w:t>has been efficient in supporting the children where barriers have been emotional or social,</w:t>
            </w:r>
            <w:r w:rsidR="00067B9A">
              <w:rPr>
                <w:rFonts w:asciiTheme="minorHAnsi" w:hAnsiTheme="minorHAnsi" w:cstheme="minorHAnsi"/>
                <w:sz w:val="22"/>
                <w:szCs w:val="22"/>
              </w:rPr>
              <w:t xml:space="preserve"> through</w:t>
            </w:r>
            <w:r w:rsidR="00A63116">
              <w:rPr>
                <w:rFonts w:asciiTheme="minorHAnsi" w:hAnsiTheme="minorHAnsi" w:cstheme="minorHAnsi"/>
                <w:sz w:val="22"/>
                <w:szCs w:val="22"/>
              </w:rPr>
              <w:t xml:space="preserve"> providing </w:t>
            </w:r>
            <w:r w:rsidR="00067B9A">
              <w:rPr>
                <w:rFonts w:asciiTheme="minorHAnsi" w:hAnsiTheme="minorHAnsi" w:cstheme="minorHAnsi"/>
                <w:sz w:val="22"/>
                <w:szCs w:val="22"/>
              </w:rPr>
              <w:t xml:space="preserve">Drawing and Talking Therapy, running ELSA groups and </w:t>
            </w:r>
            <w:r w:rsidR="00A63116">
              <w:rPr>
                <w:rFonts w:asciiTheme="minorHAnsi" w:hAnsiTheme="minorHAnsi" w:cstheme="minorHAnsi"/>
                <w:sz w:val="22"/>
                <w:szCs w:val="22"/>
              </w:rPr>
              <w:t>working alongside</w:t>
            </w:r>
            <w:r w:rsidR="00067B9A">
              <w:rPr>
                <w:rFonts w:asciiTheme="minorHAnsi" w:hAnsiTheme="minorHAnsi" w:cstheme="minorHAnsi"/>
                <w:sz w:val="22"/>
                <w:szCs w:val="22"/>
              </w:rPr>
              <w:t xml:space="preserve"> our Future in Mind Practitioner. </w:t>
            </w:r>
            <w:r w:rsidR="00A63116">
              <w:rPr>
                <w:rFonts w:asciiTheme="minorHAnsi" w:hAnsiTheme="minorHAnsi" w:cstheme="minorHAnsi"/>
                <w:sz w:val="22"/>
                <w:szCs w:val="22"/>
              </w:rPr>
              <w:t xml:space="preserve"> </w:t>
            </w:r>
            <w:r w:rsidR="00067B9A">
              <w:rPr>
                <w:rFonts w:asciiTheme="minorHAnsi" w:hAnsiTheme="minorHAnsi" w:cstheme="minorHAnsi"/>
                <w:sz w:val="22"/>
                <w:szCs w:val="22"/>
              </w:rPr>
              <w:t xml:space="preserve">The Pastoral Manager also liaises with </w:t>
            </w:r>
            <w:proofErr w:type="spellStart"/>
            <w:r w:rsidR="005D0840">
              <w:rPr>
                <w:rFonts w:asciiTheme="minorHAnsi" w:hAnsiTheme="minorHAnsi" w:cstheme="minorHAnsi"/>
                <w:sz w:val="22"/>
                <w:szCs w:val="22"/>
              </w:rPr>
              <w:t>SENDCo</w:t>
            </w:r>
            <w:proofErr w:type="spellEnd"/>
            <w:r w:rsidR="005D0840">
              <w:rPr>
                <w:rFonts w:asciiTheme="minorHAnsi" w:hAnsiTheme="minorHAnsi" w:cstheme="minorHAnsi"/>
                <w:sz w:val="22"/>
                <w:szCs w:val="22"/>
              </w:rPr>
              <w:t xml:space="preserve"> and the </w:t>
            </w:r>
            <w:r w:rsidR="00067B9A">
              <w:rPr>
                <w:rFonts w:asciiTheme="minorHAnsi" w:hAnsiTheme="minorHAnsi" w:cstheme="minorHAnsi"/>
                <w:sz w:val="22"/>
                <w:szCs w:val="22"/>
              </w:rPr>
              <w:t xml:space="preserve">Team Around the Child, Team Around the School and Team Around the Early Years to ensure any family needs are identified and addressed. </w:t>
            </w:r>
          </w:p>
          <w:p w14:paraId="228901BB" w14:textId="7DA8C8FD" w:rsidR="009E7C71" w:rsidRPr="00DD4693" w:rsidRDefault="00523EC3" w:rsidP="009E7C71">
            <w:pPr>
              <w:rPr>
                <w:rFonts w:asciiTheme="minorHAnsi" w:hAnsiTheme="minorHAnsi" w:cstheme="minorHAnsi"/>
                <w:sz w:val="22"/>
                <w:szCs w:val="22"/>
              </w:rPr>
            </w:pPr>
            <w:r w:rsidRPr="00DD4693">
              <w:rPr>
                <w:rFonts w:asciiTheme="minorHAnsi" w:hAnsiTheme="minorHAnsi" w:cstheme="minorHAnsi"/>
                <w:sz w:val="22"/>
                <w:szCs w:val="22"/>
              </w:rPr>
              <w:t>Poor language and literacy skills of many of our Pupil Premium children and families</w:t>
            </w:r>
            <w:r w:rsidR="00CA11F7" w:rsidRPr="00DD4693">
              <w:rPr>
                <w:rFonts w:asciiTheme="minorHAnsi" w:hAnsiTheme="minorHAnsi" w:cstheme="minorHAnsi"/>
                <w:sz w:val="22"/>
                <w:szCs w:val="22"/>
              </w:rPr>
              <w:t xml:space="preserve"> is </w:t>
            </w:r>
            <w:r w:rsidRPr="00DD4693">
              <w:rPr>
                <w:rFonts w:asciiTheme="minorHAnsi" w:hAnsiTheme="minorHAnsi" w:cstheme="minorHAnsi"/>
                <w:sz w:val="22"/>
                <w:szCs w:val="22"/>
              </w:rPr>
              <w:t xml:space="preserve">a significant barrier. </w:t>
            </w:r>
            <w:r w:rsidR="00211015" w:rsidRPr="00DD4693">
              <w:rPr>
                <w:rFonts w:asciiTheme="minorHAnsi" w:hAnsiTheme="minorHAnsi" w:cstheme="minorHAnsi"/>
                <w:sz w:val="22"/>
                <w:szCs w:val="22"/>
              </w:rPr>
              <w:t xml:space="preserve">Many of </w:t>
            </w:r>
            <w:r w:rsidR="005D0840">
              <w:rPr>
                <w:rFonts w:asciiTheme="minorHAnsi" w:hAnsiTheme="minorHAnsi" w:cstheme="minorHAnsi"/>
                <w:sz w:val="22"/>
                <w:szCs w:val="22"/>
              </w:rPr>
              <w:t xml:space="preserve">our </w:t>
            </w:r>
            <w:r w:rsidRPr="00DD4693">
              <w:rPr>
                <w:rFonts w:asciiTheme="minorHAnsi" w:hAnsiTheme="minorHAnsi" w:cstheme="minorHAnsi"/>
                <w:sz w:val="22"/>
                <w:szCs w:val="22"/>
              </w:rPr>
              <w:t xml:space="preserve">EYFS Pupil Premium children </w:t>
            </w:r>
            <w:r w:rsidR="009E7C71" w:rsidRPr="00DD4693">
              <w:rPr>
                <w:rFonts w:asciiTheme="minorHAnsi" w:hAnsiTheme="minorHAnsi" w:cstheme="minorHAnsi"/>
                <w:sz w:val="22"/>
                <w:szCs w:val="22"/>
              </w:rPr>
              <w:t xml:space="preserve">start their journey with us working below </w:t>
            </w:r>
            <w:r w:rsidRPr="00DD4693">
              <w:rPr>
                <w:rFonts w:asciiTheme="minorHAnsi" w:hAnsiTheme="minorHAnsi" w:cstheme="minorHAnsi"/>
                <w:sz w:val="22"/>
                <w:szCs w:val="22"/>
              </w:rPr>
              <w:t xml:space="preserve">ARE in the areas of communication and language. </w:t>
            </w:r>
            <w:r w:rsidR="00E0674C" w:rsidRPr="00DD4693">
              <w:rPr>
                <w:rFonts w:asciiTheme="minorHAnsi" w:hAnsiTheme="minorHAnsi" w:cstheme="minorHAnsi"/>
                <w:sz w:val="22"/>
                <w:szCs w:val="22"/>
              </w:rPr>
              <w:t>Data shows progress through school is not</w:t>
            </w:r>
            <w:r w:rsidR="00F11447" w:rsidRPr="00DD4693">
              <w:rPr>
                <w:rFonts w:asciiTheme="minorHAnsi" w:hAnsiTheme="minorHAnsi" w:cstheme="minorHAnsi"/>
                <w:sz w:val="22"/>
                <w:szCs w:val="22"/>
              </w:rPr>
              <w:t xml:space="preserve"> yet</w:t>
            </w:r>
            <w:r w:rsidR="00E0674C" w:rsidRPr="00DD4693">
              <w:rPr>
                <w:rFonts w:asciiTheme="minorHAnsi" w:hAnsiTheme="minorHAnsi" w:cstheme="minorHAnsi"/>
                <w:sz w:val="22"/>
                <w:szCs w:val="22"/>
              </w:rPr>
              <w:t xml:space="preserve"> rapid enough for our disadvantaged children to catch</w:t>
            </w:r>
            <w:r w:rsidR="00F11447" w:rsidRPr="00DD4693">
              <w:rPr>
                <w:rFonts w:asciiTheme="minorHAnsi" w:hAnsiTheme="minorHAnsi" w:cstheme="minorHAnsi"/>
                <w:sz w:val="22"/>
                <w:szCs w:val="22"/>
              </w:rPr>
              <w:t xml:space="preserve"> up to age related expectations. </w:t>
            </w:r>
          </w:p>
          <w:p w14:paraId="66E0394B" w14:textId="7CE7BF5E" w:rsidR="00067172" w:rsidRPr="00DD4693" w:rsidRDefault="00067172" w:rsidP="00067172">
            <w:pPr>
              <w:rPr>
                <w:rFonts w:asciiTheme="minorHAnsi" w:hAnsiTheme="minorHAnsi" w:cstheme="minorHAnsi"/>
                <w:sz w:val="22"/>
                <w:szCs w:val="22"/>
              </w:rPr>
            </w:pPr>
            <w:r w:rsidRPr="00DD4693">
              <w:rPr>
                <w:rFonts w:asciiTheme="minorHAnsi" w:hAnsiTheme="minorHAnsi" w:cstheme="minorHAnsi"/>
                <w:sz w:val="22"/>
                <w:szCs w:val="22"/>
              </w:rPr>
              <w:t>Our main intent is to mentor our pupil premium children, so their progress is carefully tracked and barriers removed</w:t>
            </w:r>
            <w:r w:rsidR="00D677A2" w:rsidRPr="00DD4693">
              <w:rPr>
                <w:rFonts w:asciiTheme="minorHAnsi" w:hAnsiTheme="minorHAnsi" w:cstheme="minorHAnsi"/>
                <w:sz w:val="22"/>
                <w:szCs w:val="22"/>
              </w:rPr>
              <w:t>,</w:t>
            </w:r>
            <w:r w:rsidRPr="00DD4693">
              <w:rPr>
                <w:rFonts w:asciiTheme="minorHAnsi" w:hAnsiTheme="minorHAnsi" w:cstheme="minorHAnsi"/>
                <w:sz w:val="22"/>
                <w:szCs w:val="22"/>
              </w:rPr>
              <w:t xml:space="preserve"> to ensure they make accelerated progress to reach at least national expectations by the time they leave us in Year 6, being fully prepared for high school and life beyond. </w:t>
            </w:r>
          </w:p>
          <w:p w14:paraId="2A7D54E9" w14:textId="329204A8" w:rsidR="00067172" w:rsidRPr="005E4A44" w:rsidRDefault="00067172" w:rsidP="00ED6183">
            <w:pPr>
              <w:pStyle w:val="NoSpacing"/>
              <w:ind w:left="720"/>
              <w:rPr>
                <w:rFonts w:cs="Arial"/>
                <w:i/>
                <w:sz w:val="20"/>
                <w:szCs w:val="20"/>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D677A2">
        <w:tc>
          <w:tcPr>
            <w:tcW w:w="8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6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D677A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10746EE" w:rsidR="00E66558" w:rsidRPr="006758AB" w:rsidRDefault="005E4A44" w:rsidP="00ED6183">
            <w:pPr>
              <w:pStyle w:val="TableRowCentered"/>
              <w:ind w:left="0"/>
              <w:jc w:val="both"/>
              <w:rPr>
                <w:sz w:val="22"/>
                <w:szCs w:val="22"/>
              </w:rPr>
            </w:pPr>
            <w:r w:rsidRPr="006758AB">
              <w:rPr>
                <w:sz w:val="22"/>
                <w:szCs w:val="22"/>
              </w:rPr>
              <w:t>Weak</w:t>
            </w:r>
            <w:r w:rsidR="00411FF4">
              <w:rPr>
                <w:sz w:val="22"/>
                <w:szCs w:val="22"/>
              </w:rPr>
              <w:t>er</w:t>
            </w:r>
            <w:r w:rsidRPr="006758AB">
              <w:rPr>
                <w:sz w:val="22"/>
                <w:szCs w:val="22"/>
              </w:rPr>
              <w:t xml:space="preserve"> language skills</w:t>
            </w:r>
            <w:r w:rsidR="0049594B">
              <w:rPr>
                <w:sz w:val="22"/>
                <w:szCs w:val="22"/>
              </w:rPr>
              <w:t xml:space="preserve"> and limited vocabulary</w:t>
            </w:r>
            <w:r w:rsidR="00D677A2">
              <w:rPr>
                <w:sz w:val="22"/>
                <w:szCs w:val="22"/>
              </w:rPr>
              <w:t>, impacting on ability to access the wider curriculu</w:t>
            </w:r>
            <w:r w:rsidR="0049594B">
              <w:rPr>
                <w:sz w:val="22"/>
                <w:szCs w:val="22"/>
              </w:rPr>
              <w:t>m and particularly impacting on reading comprehension skills</w:t>
            </w:r>
          </w:p>
        </w:tc>
      </w:tr>
      <w:tr w:rsidR="00E66558" w14:paraId="2A7D54F5" w14:textId="77777777" w:rsidTr="00D677A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0E5FBBA" w:rsidR="00E66558" w:rsidRDefault="00684F80" w:rsidP="00ED6183">
            <w:pPr>
              <w:pStyle w:val="TableRowCentered"/>
              <w:ind w:left="0"/>
              <w:jc w:val="both"/>
              <w:rPr>
                <w:sz w:val="22"/>
                <w:szCs w:val="22"/>
              </w:rPr>
            </w:pPr>
            <w:r>
              <w:rPr>
                <w:sz w:val="22"/>
                <w:szCs w:val="22"/>
              </w:rPr>
              <w:t xml:space="preserve">Low attainment on entry to school </w:t>
            </w:r>
            <w:r w:rsidR="0049594B">
              <w:rPr>
                <w:sz w:val="22"/>
                <w:szCs w:val="22"/>
              </w:rPr>
              <w:t xml:space="preserve">in the area of writing </w:t>
            </w:r>
            <w:r w:rsidR="00E0674C">
              <w:rPr>
                <w:sz w:val="22"/>
                <w:szCs w:val="22"/>
              </w:rPr>
              <w:t>and slow</w:t>
            </w:r>
            <w:r>
              <w:rPr>
                <w:sz w:val="22"/>
                <w:szCs w:val="22"/>
              </w:rPr>
              <w:t>er</w:t>
            </w:r>
            <w:r w:rsidR="00E0674C">
              <w:rPr>
                <w:sz w:val="22"/>
                <w:szCs w:val="22"/>
              </w:rPr>
              <w:t xml:space="preserve"> progress </w:t>
            </w:r>
            <w:r>
              <w:rPr>
                <w:sz w:val="22"/>
                <w:szCs w:val="22"/>
              </w:rPr>
              <w:t>through school</w:t>
            </w:r>
            <w:r w:rsidR="00686948">
              <w:rPr>
                <w:sz w:val="22"/>
                <w:szCs w:val="22"/>
              </w:rPr>
              <w:t xml:space="preserve"> for disadvantaged group </w:t>
            </w:r>
          </w:p>
        </w:tc>
      </w:tr>
      <w:tr w:rsidR="00E66558" w14:paraId="2A7D54F8" w14:textId="77777777" w:rsidTr="00D677A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E2EC1E5" w:rsidR="00ED6183" w:rsidRDefault="00ED6183" w:rsidP="00ED6183">
            <w:pPr>
              <w:pStyle w:val="TableRowCentered"/>
              <w:ind w:left="0"/>
              <w:jc w:val="both"/>
              <w:rPr>
                <w:sz w:val="22"/>
                <w:szCs w:val="22"/>
              </w:rPr>
            </w:pPr>
            <w:r>
              <w:rPr>
                <w:sz w:val="22"/>
                <w:szCs w:val="22"/>
              </w:rPr>
              <w:t>Children have limited opportunities to gain wider cultural capita</w:t>
            </w:r>
            <w:r w:rsidR="00686948">
              <w:rPr>
                <w:sz w:val="22"/>
                <w:szCs w:val="22"/>
              </w:rPr>
              <w:t>l</w:t>
            </w:r>
            <w:r w:rsidR="008A6C52">
              <w:rPr>
                <w:sz w:val="22"/>
                <w:szCs w:val="22"/>
              </w:rPr>
              <w:t xml:space="preserve"> expectations, and have a lack of ambition for their futures, impacting on lower pupil and family expectations</w:t>
            </w:r>
          </w:p>
        </w:tc>
      </w:tr>
      <w:tr w:rsidR="00517315" w14:paraId="2A7D54FB" w14:textId="77777777" w:rsidTr="00D677A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517315" w:rsidRDefault="00517315" w:rsidP="00517315">
            <w:pPr>
              <w:pStyle w:val="TableRow"/>
              <w:rPr>
                <w:sz w:val="22"/>
                <w:szCs w:val="22"/>
              </w:rPr>
            </w:pPr>
            <w:r>
              <w:rPr>
                <w:sz w:val="22"/>
                <w:szCs w:val="22"/>
              </w:rPr>
              <w:t>4</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154A3D0" w:rsidR="00517315" w:rsidRDefault="00517315" w:rsidP="00ED6183">
            <w:pPr>
              <w:pStyle w:val="TableRowCentered"/>
              <w:ind w:left="0"/>
              <w:jc w:val="both"/>
              <w:rPr>
                <w:iCs/>
                <w:sz w:val="22"/>
              </w:rPr>
            </w:pPr>
            <w:r>
              <w:rPr>
                <w:sz w:val="22"/>
                <w:szCs w:val="22"/>
              </w:rPr>
              <w:t>Chaotic family lives</w:t>
            </w:r>
            <w:r w:rsidR="00684F80">
              <w:rPr>
                <w:sz w:val="22"/>
                <w:szCs w:val="22"/>
              </w:rPr>
              <w:t>, with less parental support</w:t>
            </w:r>
            <w:r w:rsidR="00D677A2">
              <w:rPr>
                <w:sz w:val="22"/>
                <w:szCs w:val="22"/>
              </w:rPr>
              <w:t xml:space="preserve"> and engagement with school</w:t>
            </w:r>
            <w:r w:rsidR="00ED6183">
              <w:rPr>
                <w:sz w:val="22"/>
                <w:szCs w:val="22"/>
              </w:rPr>
              <w:t xml:space="preserve"> </w:t>
            </w:r>
            <w:r w:rsidR="00686948">
              <w:rPr>
                <w:sz w:val="22"/>
                <w:szCs w:val="22"/>
              </w:rPr>
              <w:t>–</w:t>
            </w:r>
            <w:r w:rsidR="00ED6183">
              <w:rPr>
                <w:sz w:val="22"/>
                <w:szCs w:val="22"/>
              </w:rPr>
              <w:t xml:space="preserve"> </w:t>
            </w:r>
            <w:r w:rsidR="00686948">
              <w:rPr>
                <w:sz w:val="22"/>
                <w:szCs w:val="22"/>
              </w:rPr>
              <w:t>impact</w:t>
            </w:r>
            <w:r w:rsidR="008A6C52">
              <w:rPr>
                <w:sz w:val="22"/>
                <w:szCs w:val="22"/>
              </w:rPr>
              <w:t>ing</w:t>
            </w:r>
            <w:r w:rsidR="00686948">
              <w:rPr>
                <w:sz w:val="22"/>
                <w:szCs w:val="22"/>
              </w:rPr>
              <w:t xml:space="preserve"> on outcomes across the curriculum </w:t>
            </w:r>
          </w:p>
        </w:tc>
      </w:tr>
      <w:tr w:rsidR="00517315" w14:paraId="2A7D54FE" w14:textId="77777777" w:rsidTr="00D677A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517315" w:rsidRDefault="00517315" w:rsidP="00517315">
            <w:pPr>
              <w:pStyle w:val="TableRow"/>
              <w:rPr>
                <w:sz w:val="22"/>
                <w:szCs w:val="22"/>
              </w:rPr>
            </w:pPr>
            <w:r>
              <w:rPr>
                <w:sz w:val="22"/>
                <w:szCs w:val="22"/>
              </w:rPr>
              <w:t>5</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1C4C5FF" w:rsidR="00517315" w:rsidRDefault="00517315" w:rsidP="00ED6183">
            <w:pPr>
              <w:pStyle w:val="TableRowCentered"/>
              <w:ind w:left="0"/>
              <w:jc w:val="both"/>
              <w:rPr>
                <w:iCs/>
                <w:sz w:val="22"/>
              </w:rPr>
            </w:pPr>
            <w:r>
              <w:rPr>
                <w:sz w:val="22"/>
                <w:szCs w:val="22"/>
              </w:rPr>
              <w:t>Attendance and punctuality issues</w:t>
            </w:r>
            <w:r w:rsidR="00ED6183">
              <w:rPr>
                <w:sz w:val="22"/>
                <w:szCs w:val="22"/>
              </w:rPr>
              <w:t xml:space="preserve"> impacting on less progress and low attainment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390"/>
        <w:gridCol w:w="5096"/>
      </w:tblGrid>
      <w:tr w:rsidR="00E66558" w14:paraId="2A7D5503" w14:textId="77777777" w:rsidTr="00704FD5">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0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704FD5">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F5B286F" w:rsidR="00E66558" w:rsidRPr="007110F3" w:rsidRDefault="00CA11F7">
            <w:pPr>
              <w:pStyle w:val="TableRow"/>
            </w:pPr>
            <w:r>
              <w:rPr>
                <w:iCs/>
                <w:sz w:val="22"/>
                <w:szCs w:val="22"/>
              </w:rPr>
              <w:t xml:space="preserve">Fully implemented Phonics SSP </w:t>
            </w:r>
            <w:r w:rsidR="00CB3E4B">
              <w:rPr>
                <w:iCs/>
                <w:sz w:val="22"/>
                <w:szCs w:val="22"/>
              </w:rPr>
              <w:t xml:space="preserve">and </w:t>
            </w:r>
            <w:proofErr w:type="gramStart"/>
            <w:r w:rsidR="00CB3E4B">
              <w:rPr>
                <w:iCs/>
                <w:sz w:val="22"/>
                <w:szCs w:val="22"/>
              </w:rPr>
              <w:t>high quality</w:t>
            </w:r>
            <w:proofErr w:type="gramEnd"/>
            <w:r w:rsidR="00CB3E4B">
              <w:rPr>
                <w:iCs/>
                <w:sz w:val="22"/>
                <w:szCs w:val="22"/>
              </w:rPr>
              <w:t xml:space="preserve"> teaching and learning in English through school</w:t>
            </w:r>
            <w:r w:rsidR="00356A2A">
              <w:rPr>
                <w:iCs/>
                <w:sz w:val="22"/>
                <w:szCs w:val="22"/>
              </w:rPr>
              <w:t xml:space="preserve"> in order to reduce the gap between school and national for PP children</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D5AB" w14:textId="2A9705A5" w:rsidR="00356A2A" w:rsidRDefault="00356A2A" w:rsidP="00CA11F7">
            <w:pPr>
              <w:pStyle w:val="TableRowCentered"/>
              <w:jc w:val="left"/>
              <w:rPr>
                <w:sz w:val="22"/>
                <w:szCs w:val="22"/>
              </w:rPr>
            </w:pPr>
            <w:r>
              <w:rPr>
                <w:sz w:val="22"/>
                <w:szCs w:val="22"/>
              </w:rPr>
              <w:t>Close tracking of whole school phonics in place across EYFS, KS1 AND KS2</w:t>
            </w:r>
            <w:r w:rsidR="0044223B">
              <w:rPr>
                <w:sz w:val="22"/>
                <w:szCs w:val="22"/>
              </w:rPr>
              <w:t xml:space="preserve"> and early intervention in place</w:t>
            </w:r>
          </w:p>
          <w:p w14:paraId="200A20F1" w14:textId="411D8D5C" w:rsidR="00CA11F7" w:rsidRDefault="00CA11F7" w:rsidP="00CA11F7">
            <w:pPr>
              <w:pStyle w:val="TableRowCentered"/>
              <w:jc w:val="left"/>
              <w:rPr>
                <w:sz w:val="22"/>
                <w:szCs w:val="22"/>
              </w:rPr>
            </w:pPr>
            <w:r>
              <w:rPr>
                <w:sz w:val="22"/>
                <w:szCs w:val="22"/>
              </w:rPr>
              <w:t xml:space="preserve">Achieve in line with national expected standard in R and W at KS1 and GLD in EYFS  </w:t>
            </w:r>
          </w:p>
          <w:p w14:paraId="2A7D5505" w14:textId="2503DB8B" w:rsidR="00E66558" w:rsidRDefault="00CA11F7" w:rsidP="00CA11F7">
            <w:pPr>
              <w:pStyle w:val="TableRowCentered"/>
              <w:jc w:val="left"/>
              <w:rPr>
                <w:sz w:val="22"/>
                <w:szCs w:val="22"/>
              </w:rPr>
            </w:pPr>
            <w:r>
              <w:rPr>
                <w:sz w:val="22"/>
                <w:szCs w:val="22"/>
              </w:rPr>
              <w:t>Achieve in line with national expected standard in Phonic Screen</w:t>
            </w:r>
          </w:p>
        </w:tc>
      </w:tr>
      <w:tr w:rsidR="00704FD5" w14:paraId="017717B1" w14:textId="77777777" w:rsidTr="00704FD5">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C6A8" w14:textId="4493A9C8" w:rsidR="00704FD5" w:rsidRDefault="00704FD5">
            <w:pPr>
              <w:pStyle w:val="TableRow"/>
              <w:rPr>
                <w:iCs/>
                <w:sz w:val="22"/>
                <w:szCs w:val="22"/>
              </w:rPr>
            </w:pPr>
            <w:r>
              <w:rPr>
                <w:iCs/>
                <w:sz w:val="22"/>
                <w:szCs w:val="22"/>
              </w:rPr>
              <w:t>Improved oral language skills and vocabulary among disadvantaged children</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E0C9F" w14:textId="4E30AAFF" w:rsidR="00704FD5" w:rsidRDefault="00704FD5" w:rsidP="00CA11F7">
            <w:pPr>
              <w:pStyle w:val="TableRowCentered"/>
              <w:jc w:val="left"/>
              <w:rPr>
                <w:sz w:val="22"/>
                <w:szCs w:val="22"/>
              </w:rPr>
            </w:pPr>
            <w:r>
              <w:rPr>
                <w:sz w:val="22"/>
                <w:szCs w:val="22"/>
              </w:rPr>
              <w:t>Assessments and observations indicate significantly improved oral language amongst disadvantaged pupils. This is evident when triangulated with other sources of evidence, including engagement in lessons, vocabulary sessions, book scrutiny and ongoing formative assessments.</w:t>
            </w:r>
          </w:p>
        </w:tc>
      </w:tr>
      <w:tr w:rsidR="00E66558" w14:paraId="2A7D5509" w14:textId="77777777" w:rsidTr="00704FD5">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D0926" w14:textId="6122566E" w:rsidR="00E66558" w:rsidRDefault="0044223B">
            <w:pPr>
              <w:pStyle w:val="TableRow"/>
              <w:rPr>
                <w:sz w:val="22"/>
                <w:szCs w:val="22"/>
              </w:rPr>
            </w:pPr>
            <w:r>
              <w:rPr>
                <w:sz w:val="22"/>
                <w:szCs w:val="22"/>
              </w:rPr>
              <w:t>Embed w</w:t>
            </w:r>
            <w:r w:rsidR="00CA11F7">
              <w:rPr>
                <w:sz w:val="22"/>
                <w:szCs w:val="22"/>
              </w:rPr>
              <w:t>hole school culture of reading for pleasure</w:t>
            </w:r>
          </w:p>
          <w:p w14:paraId="2A7D5507" w14:textId="530A0608" w:rsidR="0044223B" w:rsidRDefault="0044223B">
            <w:pPr>
              <w:pStyle w:val="TableRow"/>
              <w:rPr>
                <w:sz w:val="22"/>
                <w:szCs w:val="22"/>
              </w:rPr>
            </w:pPr>
            <w:r>
              <w:rPr>
                <w:sz w:val="22"/>
                <w:szCs w:val="22"/>
              </w:rPr>
              <w:t xml:space="preserve">Target teaching and learning in reading in order to reduce the gap between PP and </w:t>
            </w:r>
            <w:proofErr w:type="gramStart"/>
            <w:r>
              <w:rPr>
                <w:sz w:val="22"/>
                <w:szCs w:val="22"/>
              </w:rPr>
              <w:t>non PP</w:t>
            </w:r>
            <w:proofErr w:type="gramEnd"/>
            <w:r>
              <w:rPr>
                <w:sz w:val="22"/>
                <w:szCs w:val="22"/>
              </w:rPr>
              <w:t xml:space="preserve"> children</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460D6E7" w:rsidR="00E66558" w:rsidRDefault="005E4A44">
            <w:pPr>
              <w:pStyle w:val="TableRowCentered"/>
              <w:jc w:val="left"/>
              <w:rPr>
                <w:sz w:val="22"/>
                <w:szCs w:val="22"/>
              </w:rPr>
            </w:pPr>
            <w:r>
              <w:rPr>
                <w:sz w:val="22"/>
                <w:szCs w:val="22"/>
              </w:rPr>
              <w:t xml:space="preserve">Achieve </w:t>
            </w:r>
            <w:r w:rsidR="00411FF4">
              <w:rPr>
                <w:sz w:val="22"/>
                <w:szCs w:val="22"/>
              </w:rPr>
              <w:t xml:space="preserve">in line with or </w:t>
            </w:r>
            <w:r>
              <w:rPr>
                <w:sz w:val="22"/>
                <w:szCs w:val="22"/>
              </w:rPr>
              <w:t>above nat</w:t>
            </w:r>
            <w:r w:rsidR="00CA11F7">
              <w:rPr>
                <w:sz w:val="22"/>
                <w:szCs w:val="22"/>
              </w:rPr>
              <w:t>ional progress scores in reading at KS2</w:t>
            </w:r>
          </w:p>
        </w:tc>
      </w:tr>
      <w:tr w:rsidR="00E66558" w14:paraId="2A7D550C" w14:textId="77777777" w:rsidTr="00704FD5">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B87829D" w:rsidR="00E66558" w:rsidRDefault="0044223B" w:rsidP="00CB3E4B">
            <w:pPr>
              <w:pStyle w:val="TableRow"/>
              <w:ind w:left="0"/>
              <w:rPr>
                <w:sz w:val="22"/>
                <w:szCs w:val="22"/>
              </w:rPr>
            </w:pPr>
            <w:r>
              <w:rPr>
                <w:sz w:val="22"/>
                <w:szCs w:val="22"/>
              </w:rPr>
              <w:t xml:space="preserve">Embed </w:t>
            </w:r>
            <w:r w:rsidR="005E4A44">
              <w:rPr>
                <w:sz w:val="22"/>
                <w:szCs w:val="22"/>
              </w:rPr>
              <w:t>Maths</w:t>
            </w:r>
            <w:r w:rsidR="00CA11F7">
              <w:rPr>
                <w:sz w:val="22"/>
                <w:szCs w:val="22"/>
              </w:rPr>
              <w:t xml:space="preserve"> Mastery approach </w:t>
            </w:r>
            <w:r>
              <w:rPr>
                <w:sz w:val="22"/>
                <w:szCs w:val="22"/>
              </w:rPr>
              <w:t>across school, with focus on fluency and recall</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664900F" w:rsidR="00E66558" w:rsidRDefault="005E4A44">
            <w:pPr>
              <w:pStyle w:val="TableRowCentered"/>
              <w:jc w:val="left"/>
              <w:rPr>
                <w:sz w:val="22"/>
                <w:szCs w:val="22"/>
              </w:rPr>
            </w:pPr>
            <w:r>
              <w:rPr>
                <w:sz w:val="22"/>
                <w:szCs w:val="22"/>
              </w:rPr>
              <w:t xml:space="preserve">Achieve </w:t>
            </w:r>
            <w:r w:rsidR="00411FF4">
              <w:rPr>
                <w:sz w:val="22"/>
                <w:szCs w:val="22"/>
              </w:rPr>
              <w:t xml:space="preserve">in line with or </w:t>
            </w:r>
            <w:r>
              <w:rPr>
                <w:sz w:val="22"/>
                <w:szCs w:val="22"/>
              </w:rPr>
              <w:t>above national progress scores in maths</w:t>
            </w:r>
            <w:r w:rsidR="00CA11F7">
              <w:rPr>
                <w:sz w:val="22"/>
                <w:szCs w:val="22"/>
              </w:rPr>
              <w:t xml:space="preserve"> at KS</w:t>
            </w:r>
            <w:r w:rsidR="00CB3E4B">
              <w:rPr>
                <w:sz w:val="22"/>
                <w:szCs w:val="22"/>
              </w:rPr>
              <w:t>2 and in l</w:t>
            </w:r>
            <w:r w:rsidR="00CA11F7">
              <w:rPr>
                <w:sz w:val="22"/>
                <w:szCs w:val="22"/>
              </w:rPr>
              <w:t>ine with national expected standard at KS1</w:t>
            </w:r>
            <w:r w:rsidR="007173C7">
              <w:rPr>
                <w:sz w:val="22"/>
                <w:szCs w:val="22"/>
              </w:rPr>
              <w:t>, and in line with MTC at Year 4</w:t>
            </w:r>
          </w:p>
        </w:tc>
      </w:tr>
      <w:tr w:rsidR="00411FF4" w14:paraId="214A1C89" w14:textId="77777777" w:rsidTr="00704FD5">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2B893" w14:textId="1B44B3BE" w:rsidR="00411FF4" w:rsidRDefault="00CB3E4B">
            <w:pPr>
              <w:pStyle w:val="TableRow"/>
              <w:rPr>
                <w:sz w:val="22"/>
                <w:szCs w:val="22"/>
              </w:rPr>
            </w:pPr>
            <w:r>
              <w:rPr>
                <w:sz w:val="22"/>
                <w:szCs w:val="22"/>
              </w:rPr>
              <w:lastRenderedPageBreak/>
              <w:t>High quality f</w:t>
            </w:r>
            <w:r w:rsidR="00CA11F7">
              <w:rPr>
                <w:sz w:val="22"/>
                <w:szCs w:val="22"/>
              </w:rPr>
              <w:t xml:space="preserve">eedback during all lessons </w:t>
            </w:r>
            <w:r w:rsidR="005D0840">
              <w:rPr>
                <w:sz w:val="22"/>
                <w:szCs w:val="22"/>
              </w:rPr>
              <w:t xml:space="preserve">as part of Quality First Teaching, </w:t>
            </w:r>
            <w:r w:rsidR="00CA11F7">
              <w:rPr>
                <w:sz w:val="22"/>
                <w:szCs w:val="22"/>
              </w:rPr>
              <w:t>to ensure rapid progress</w:t>
            </w:r>
          </w:p>
          <w:p w14:paraId="089825F5" w14:textId="77777777" w:rsidR="00CB3E4B" w:rsidRDefault="00CB3E4B">
            <w:pPr>
              <w:pStyle w:val="TableRow"/>
              <w:rPr>
                <w:sz w:val="22"/>
                <w:szCs w:val="22"/>
              </w:rPr>
            </w:pPr>
          </w:p>
          <w:p w14:paraId="5BD5A68A" w14:textId="37BE60B7" w:rsidR="00CB3E4B" w:rsidRDefault="00CB3E4B">
            <w:pPr>
              <w:pStyle w:val="TableRow"/>
              <w:rPr>
                <w:sz w:val="22"/>
                <w:szCs w:val="22"/>
              </w:rPr>
            </w:pPr>
            <w:r>
              <w:rPr>
                <w:sz w:val="22"/>
                <w:szCs w:val="22"/>
              </w:rPr>
              <w:t xml:space="preserve">Interventions are in place and effective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7FA61" w14:textId="77777777" w:rsidR="00411FF4" w:rsidRDefault="00411FF4">
            <w:pPr>
              <w:pStyle w:val="TableRowCentered"/>
              <w:jc w:val="left"/>
              <w:rPr>
                <w:sz w:val="22"/>
                <w:szCs w:val="22"/>
              </w:rPr>
            </w:pPr>
            <w:r>
              <w:rPr>
                <w:sz w:val="22"/>
                <w:szCs w:val="22"/>
              </w:rPr>
              <w:t>Achieve in line with national expected standard in RWM combined at KS1</w:t>
            </w:r>
            <w:r w:rsidR="00CA11F7">
              <w:rPr>
                <w:sz w:val="22"/>
                <w:szCs w:val="22"/>
              </w:rPr>
              <w:t xml:space="preserve"> and KS2</w:t>
            </w:r>
          </w:p>
          <w:p w14:paraId="2E62D9CB" w14:textId="72EE7431" w:rsidR="00356A2A" w:rsidRDefault="00356A2A">
            <w:pPr>
              <w:pStyle w:val="TableRowCentered"/>
              <w:jc w:val="left"/>
              <w:rPr>
                <w:sz w:val="22"/>
                <w:szCs w:val="22"/>
              </w:rPr>
            </w:pPr>
            <w:r>
              <w:rPr>
                <w:sz w:val="22"/>
                <w:szCs w:val="22"/>
              </w:rPr>
              <w:t xml:space="preserve">Gaps between PP and </w:t>
            </w:r>
            <w:proofErr w:type="gramStart"/>
            <w:r>
              <w:rPr>
                <w:sz w:val="22"/>
                <w:szCs w:val="22"/>
              </w:rPr>
              <w:t>non PP</w:t>
            </w:r>
            <w:proofErr w:type="gramEnd"/>
            <w:r>
              <w:rPr>
                <w:sz w:val="22"/>
                <w:szCs w:val="22"/>
              </w:rPr>
              <w:t xml:space="preserve"> attainment and progress are reduced</w:t>
            </w:r>
          </w:p>
        </w:tc>
      </w:tr>
      <w:tr w:rsidR="00356A2A" w14:paraId="76B5DC73" w14:textId="77777777" w:rsidTr="00704FD5">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E5994" w14:textId="53A7F4F0" w:rsidR="00356A2A" w:rsidRDefault="00356A2A" w:rsidP="00356A2A">
            <w:pPr>
              <w:pStyle w:val="TableRow"/>
              <w:ind w:left="0"/>
              <w:rPr>
                <w:sz w:val="22"/>
                <w:szCs w:val="22"/>
              </w:rPr>
            </w:pPr>
            <w:r>
              <w:rPr>
                <w:sz w:val="22"/>
                <w:szCs w:val="22"/>
              </w:rPr>
              <w:t xml:space="preserve">Pastoral Team developed to meet the needs of the children’s emotional literacy and pastoral care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DDFE6" w14:textId="77777777" w:rsidR="00356A2A" w:rsidRDefault="00356A2A">
            <w:pPr>
              <w:pStyle w:val="TableRowCentered"/>
              <w:jc w:val="left"/>
              <w:rPr>
                <w:sz w:val="22"/>
                <w:szCs w:val="22"/>
              </w:rPr>
            </w:pPr>
            <w:r>
              <w:rPr>
                <w:sz w:val="22"/>
                <w:szCs w:val="22"/>
              </w:rPr>
              <w:t>Challenges to learning are reduced</w:t>
            </w:r>
          </w:p>
          <w:p w14:paraId="2E61B080" w14:textId="77777777" w:rsidR="00356A2A" w:rsidRDefault="00356A2A">
            <w:pPr>
              <w:pStyle w:val="TableRowCentered"/>
              <w:jc w:val="left"/>
              <w:rPr>
                <w:sz w:val="22"/>
                <w:szCs w:val="22"/>
              </w:rPr>
            </w:pPr>
            <w:r>
              <w:rPr>
                <w:sz w:val="22"/>
                <w:szCs w:val="22"/>
              </w:rPr>
              <w:t xml:space="preserve">Interventions in place that target social and emotional needs </w:t>
            </w:r>
          </w:p>
          <w:p w14:paraId="3F8F477A" w14:textId="335784D1" w:rsidR="00356A2A" w:rsidRDefault="00356A2A">
            <w:pPr>
              <w:pStyle w:val="TableRowCentered"/>
              <w:jc w:val="left"/>
              <w:rPr>
                <w:sz w:val="22"/>
                <w:szCs w:val="22"/>
              </w:rPr>
            </w:pPr>
            <w:r>
              <w:rPr>
                <w:sz w:val="22"/>
                <w:szCs w:val="22"/>
              </w:rPr>
              <w:t xml:space="preserve">Breakfast </w:t>
            </w:r>
            <w:r w:rsidR="007173C7">
              <w:rPr>
                <w:sz w:val="22"/>
                <w:szCs w:val="22"/>
              </w:rPr>
              <w:t xml:space="preserve">bagels </w:t>
            </w:r>
            <w:r>
              <w:rPr>
                <w:sz w:val="22"/>
                <w:szCs w:val="22"/>
              </w:rPr>
              <w:t>provided for PP (all) children</w:t>
            </w:r>
          </w:p>
        </w:tc>
      </w:tr>
      <w:tr w:rsidR="005E4A44" w14:paraId="446E5609" w14:textId="77777777" w:rsidTr="00704FD5">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4D6C" w14:textId="2D514B33" w:rsidR="005E4A44" w:rsidRDefault="005E4A44" w:rsidP="00CB3E4B">
            <w:pPr>
              <w:pStyle w:val="TableRow"/>
              <w:rPr>
                <w:sz w:val="22"/>
                <w:szCs w:val="22"/>
              </w:rPr>
            </w:pPr>
            <w:r>
              <w:rPr>
                <w:sz w:val="22"/>
                <w:szCs w:val="22"/>
              </w:rPr>
              <w:t>Attendance</w:t>
            </w:r>
            <w:r w:rsidR="00CA11F7">
              <w:rPr>
                <w:sz w:val="22"/>
                <w:szCs w:val="22"/>
              </w:rPr>
              <w:t xml:space="preserve"> strategies in place to improve attendance </w:t>
            </w:r>
            <w:r w:rsidR="00CB3E4B">
              <w:rPr>
                <w:sz w:val="22"/>
                <w:szCs w:val="22"/>
              </w:rPr>
              <w:t xml:space="preserve">and punctuality </w:t>
            </w:r>
            <w:r w:rsidR="00356A2A">
              <w:rPr>
                <w:sz w:val="22"/>
                <w:szCs w:val="22"/>
              </w:rPr>
              <w:t xml:space="preserve">and reduce gaps between PP and </w:t>
            </w:r>
            <w:proofErr w:type="gramStart"/>
            <w:r w:rsidR="00356A2A">
              <w:rPr>
                <w:sz w:val="22"/>
                <w:szCs w:val="22"/>
              </w:rPr>
              <w:t>non PP</w:t>
            </w:r>
            <w:proofErr w:type="gramEnd"/>
            <w:r w:rsidR="00356A2A">
              <w:rPr>
                <w:sz w:val="22"/>
                <w:szCs w:val="22"/>
              </w:rPr>
              <w:t xml:space="preserve"> attendance</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DF7F5" w14:textId="3F8F1A85" w:rsidR="005E4A44" w:rsidRDefault="00356A2A">
            <w:pPr>
              <w:pStyle w:val="TableRowCentered"/>
              <w:jc w:val="left"/>
              <w:rPr>
                <w:sz w:val="22"/>
                <w:szCs w:val="22"/>
              </w:rPr>
            </w:pPr>
            <w:r>
              <w:rPr>
                <w:sz w:val="22"/>
                <w:szCs w:val="22"/>
              </w:rPr>
              <w:t xml:space="preserve">Gaps between PP and </w:t>
            </w:r>
            <w:proofErr w:type="gramStart"/>
            <w:r>
              <w:rPr>
                <w:sz w:val="22"/>
                <w:szCs w:val="22"/>
              </w:rPr>
              <w:t>non PP</w:t>
            </w:r>
            <w:proofErr w:type="gramEnd"/>
            <w:r>
              <w:rPr>
                <w:sz w:val="22"/>
                <w:szCs w:val="22"/>
              </w:rPr>
              <w:t xml:space="preserve"> a</w:t>
            </w:r>
            <w:r w:rsidR="005E4A44">
              <w:rPr>
                <w:sz w:val="22"/>
                <w:szCs w:val="22"/>
              </w:rPr>
              <w:t xml:space="preserve">ttendance </w:t>
            </w:r>
            <w:r>
              <w:rPr>
                <w:sz w:val="22"/>
                <w:szCs w:val="22"/>
              </w:rPr>
              <w:t>are reduced compared to previous year</w:t>
            </w:r>
            <w:r w:rsidR="007173C7">
              <w:rPr>
                <w:sz w:val="22"/>
                <w:szCs w:val="22"/>
              </w:rPr>
              <w:t>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68F4B530" w:rsidR="00E66558" w:rsidRDefault="009D71E8">
      <w:pPr>
        <w:spacing w:after="480"/>
      </w:pPr>
      <w:r>
        <w:t xml:space="preserve">This details how we intend to spend our pupil premium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71F7789" w:rsidR="00E66558" w:rsidRDefault="009D71E8">
      <w:r>
        <w:t xml:space="preserve">Budgeted cost: </w:t>
      </w:r>
      <w:r w:rsidRPr="0062389E">
        <w:rPr>
          <w:b/>
          <w:color w:val="244061" w:themeColor="accent1" w:themeShade="80"/>
          <w:sz w:val="28"/>
        </w:rPr>
        <w:t xml:space="preserve">£ </w:t>
      </w:r>
      <w:r w:rsidR="00625824" w:rsidRPr="0062389E">
        <w:rPr>
          <w:b/>
          <w:color w:val="244061" w:themeColor="accent1" w:themeShade="80"/>
          <w:sz w:val="28"/>
        </w:rPr>
        <w:t>5</w:t>
      </w:r>
      <w:r w:rsidR="00624A76" w:rsidRPr="0062389E">
        <w:rPr>
          <w:b/>
          <w:color w:val="244061" w:themeColor="accent1" w:themeShade="80"/>
          <w:sz w:val="28"/>
        </w:rPr>
        <w:t>0</w:t>
      </w:r>
      <w:r w:rsidR="00625824" w:rsidRPr="0062389E">
        <w:rPr>
          <w:b/>
          <w:color w:val="244061" w:themeColor="accent1" w:themeShade="80"/>
          <w:sz w:val="28"/>
        </w:rPr>
        <w:t>,000</w:t>
      </w:r>
    </w:p>
    <w:tbl>
      <w:tblPr>
        <w:tblW w:w="5000" w:type="pct"/>
        <w:tblCellMar>
          <w:left w:w="10" w:type="dxa"/>
          <w:right w:w="10" w:type="dxa"/>
        </w:tblCellMar>
        <w:tblLook w:val="04A0" w:firstRow="1" w:lastRow="0" w:firstColumn="1" w:lastColumn="0" w:noHBand="0" w:noVBand="1"/>
      </w:tblPr>
      <w:tblGrid>
        <w:gridCol w:w="2547"/>
        <w:gridCol w:w="5386"/>
        <w:gridCol w:w="1553"/>
      </w:tblGrid>
      <w:tr w:rsidR="00E66558" w14:paraId="2A7D5519" w14:textId="77777777" w:rsidTr="005D0840">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5D08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0FEF6D8" w:rsidR="00E66558" w:rsidRPr="00067172" w:rsidRDefault="00067172" w:rsidP="00517315">
            <w:pPr>
              <w:pStyle w:val="TableRow"/>
              <w:ind w:left="0"/>
              <w:rPr>
                <w:i/>
              </w:rPr>
            </w:pPr>
            <w:r w:rsidRPr="00067172">
              <w:rPr>
                <w:i/>
              </w:rPr>
              <w:t>Improve the teaching o</w:t>
            </w:r>
            <w:r w:rsidR="0044223B">
              <w:rPr>
                <w:i/>
              </w:rPr>
              <w:t>f</w:t>
            </w:r>
            <w:r w:rsidRPr="00067172">
              <w:rPr>
                <w:i/>
              </w:rPr>
              <w:t xml:space="preserve"> phonics and early reading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7E12476" w:rsidR="00E66558" w:rsidRPr="006758AB" w:rsidRDefault="00067172" w:rsidP="00067172">
            <w:pPr>
              <w:pStyle w:val="NormalWeb"/>
              <w:rPr>
                <w:rFonts w:asciiTheme="minorHAnsi" w:hAnsiTheme="minorHAnsi" w:cstheme="minorHAnsi"/>
                <w:sz w:val="20"/>
                <w:szCs w:val="20"/>
                <w:lang w:val="en"/>
              </w:rPr>
            </w:pPr>
            <w:r w:rsidRPr="006758AB">
              <w:rPr>
                <w:rFonts w:asciiTheme="minorHAnsi" w:hAnsiTheme="minorHAnsi" w:cstheme="minorHAnsi"/>
                <w:sz w:val="20"/>
                <w:szCs w:val="20"/>
              </w:rPr>
              <w:t xml:space="preserve">EEF states </w:t>
            </w:r>
            <w:r w:rsidRPr="006758AB">
              <w:rPr>
                <w:rFonts w:asciiTheme="minorHAnsi" w:hAnsiTheme="minorHAnsi" w:cstheme="minorHAnsi"/>
                <w:sz w:val="20"/>
                <w:szCs w:val="20"/>
                <w:lang w:val="en"/>
              </w:rPr>
              <w:t xml:space="preserve">studies in England have shown that pupils eligible for free school meals typically receive similar or slightly greater benefit from phonics interventions and approaches. This is likely to be due to the explicit nature of the instruction and the intensive support provided. A DfE approved SSP (Little </w:t>
            </w:r>
            <w:proofErr w:type="spellStart"/>
            <w:r w:rsidRPr="006758AB">
              <w:rPr>
                <w:rFonts w:asciiTheme="minorHAnsi" w:hAnsiTheme="minorHAnsi" w:cstheme="minorHAnsi"/>
                <w:sz w:val="20"/>
                <w:szCs w:val="20"/>
                <w:lang w:val="en"/>
              </w:rPr>
              <w:t>Wandle</w:t>
            </w:r>
            <w:proofErr w:type="spellEnd"/>
            <w:r w:rsidRPr="006758AB">
              <w:rPr>
                <w:rFonts w:asciiTheme="minorHAnsi" w:hAnsiTheme="minorHAnsi" w:cstheme="minorHAnsi"/>
                <w:sz w:val="20"/>
                <w:szCs w:val="20"/>
                <w:lang w:val="en"/>
              </w:rPr>
              <w:t xml:space="preserve">) has been </w:t>
            </w:r>
            <w:r w:rsidR="005D0840">
              <w:rPr>
                <w:rFonts w:asciiTheme="minorHAnsi" w:hAnsiTheme="minorHAnsi" w:cstheme="minorHAnsi"/>
                <w:sz w:val="20"/>
                <w:szCs w:val="20"/>
                <w:lang w:val="en"/>
              </w:rPr>
              <w:t xml:space="preserve">fully implemented, with a fluency </w:t>
            </w:r>
            <w:proofErr w:type="spellStart"/>
            <w:r w:rsidR="005D0840">
              <w:rPr>
                <w:rFonts w:asciiTheme="minorHAnsi" w:hAnsiTheme="minorHAnsi" w:cstheme="minorHAnsi"/>
                <w:sz w:val="20"/>
                <w:szCs w:val="20"/>
                <w:lang w:val="en"/>
              </w:rPr>
              <w:t>programme</w:t>
            </w:r>
            <w:proofErr w:type="spellEnd"/>
            <w:r w:rsidR="005D0840">
              <w:rPr>
                <w:rFonts w:asciiTheme="minorHAnsi" w:hAnsiTheme="minorHAnsi" w:cstheme="minorHAnsi"/>
                <w:sz w:val="20"/>
                <w:szCs w:val="20"/>
                <w:lang w:val="en"/>
              </w:rPr>
              <w:t xml:space="preserve"> now being introduced as the next step in 2024</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E7DC7C3" w:rsidR="00E66558" w:rsidRDefault="00517315">
            <w:pPr>
              <w:pStyle w:val="TableRowCentered"/>
              <w:jc w:val="left"/>
              <w:rPr>
                <w:sz w:val="22"/>
              </w:rPr>
            </w:pPr>
            <w:r>
              <w:rPr>
                <w:sz w:val="22"/>
              </w:rPr>
              <w:t>1, 2</w:t>
            </w:r>
            <w:r w:rsidR="00037BA5">
              <w:rPr>
                <w:sz w:val="22"/>
              </w:rPr>
              <w:t xml:space="preserve">,3 </w:t>
            </w:r>
          </w:p>
        </w:tc>
      </w:tr>
      <w:tr w:rsidR="00625824" w14:paraId="5BCC5414" w14:textId="77777777" w:rsidTr="005D08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48D7" w14:textId="759D6D50" w:rsidR="00625824" w:rsidRPr="00067172" w:rsidRDefault="00625824" w:rsidP="00625824">
            <w:pPr>
              <w:pStyle w:val="TableRow"/>
              <w:ind w:left="0"/>
              <w:rPr>
                <w:i/>
              </w:rPr>
            </w:pPr>
            <w:r w:rsidRPr="00067172">
              <w:rPr>
                <w:i/>
                <w:sz w:val="22"/>
              </w:rPr>
              <w:t>Embed Maths Mastery approach through school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4BA1" w14:textId="0B2EBEA9" w:rsidR="00625824" w:rsidRPr="006758AB" w:rsidRDefault="00625824" w:rsidP="00625824">
            <w:pPr>
              <w:pStyle w:val="NormalWeb"/>
              <w:rPr>
                <w:rFonts w:asciiTheme="minorHAnsi" w:hAnsiTheme="minorHAnsi" w:cstheme="minorHAnsi"/>
                <w:sz w:val="20"/>
                <w:szCs w:val="20"/>
                <w:lang w:val="en"/>
              </w:rPr>
            </w:pPr>
            <w:r w:rsidRPr="006758AB">
              <w:rPr>
                <w:rFonts w:asciiTheme="minorHAnsi" w:hAnsiTheme="minorHAnsi" w:cstheme="minorHAnsi"/>
                <w:sz w:val="20"/>
                <w:szCs w:val="20"/>
                <w:lang w:val="en"/>
              </w:rPr>
              <w:t>EEF states Mastery learning approaches aim to ensure that all pupils have mastered key concepts before moving on to the next topic – in contrast with traditional teaching methods in which pupils may be left behind, with gaps of misunderstanding widening. Mastery learning approaches could address these challenges by giving additional time and support to pupils who may have missed learning, or take longer to master new knowledge and skills.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92C11" w14:textId="17DA83CD" w:rsidR="00625824" w:rsidRDefault="00625824" w:rsidP="00625824">
            <w:pPr>
              <w:pStyle w:val="TableRowCentered"/>
              <w:jc w:val="left"/>
              <w:rPr>
                <w:sz w:val="22"/>
              </w:rPr>
            </w:pPr>
            <w:r>
              <w:rPr>
                <w:sz w:val="22"/>
              </w:rPr>
              <w:t>1,2</w:t>
            </w:r>
            <w:r w:rsidR="00E0674C">
              <w:rPr>
                <w:sz w:val="22"/>
              </w:rPr>
              <w:t>,3</w:t>
            </w:r>
          </w:p>
        </w:tc>
      </w:tr>
      <w:tr w:rsidR="00E66558" w14:paraId="2A7D5521" w14:textId="77777777" w:rsidTr="005D08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C0DE174" w:rsidR="00E66558" w:rsidRPr="00067172" w:rsidRDefault="00625824">
            <w:pPr>
              <w:pStyle w:val="TableRow"/>
              <w:rPr>
                <w:i/>
                <w:sz w:val="22"/>
              </w:rPr>
            </w:pPr>
            <w:r>
              <w:rPr>
                <w:i/>
                <w:sz w:val="22"/>
              </w:rPr>
              <w:t xml:space="preserve">Use teacher feedback to improve pupils learning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A7AF022" w:rsidR="006758AB" w:rsidRPr="00E0674C" w:rsidRDefault="00E0674C">
            <w:pPr>
              <w:pStyle w:val="TableRowCentered"/>
              <w:jc w:val="left"/>
              <w:rPr>
                <w:rFonts w:asciiTheme="minorHAnsi" w:hAnsiTheme="minorHAnsi" w:cstheme="minorHAnsi"/>
                <w:sz w:val="20"/>
              </w:rPr>
            </w:pPr>
            <w:r w:rsidRPr="00E0674C">
              <w:rPr>
                <w:rFonts w:asciiTheme="minorHAnsi" w:hAnsiTheme="minorHAnsi" w:cstheme="minorHAnsi"/>
                <w:sz w:val="20"/>
                <w:lang w:val="en"/>
              </w:rPr>
              <w:t>EEF guidance states done well, Teacher Feedback supports pupil progress, building learning, addressing misunderstandings, and thereby closing the gap between where a pupil is and where the teacher wants them to be.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1F049E2" w:rsidR="00E66558" w:rsidRDefault="00E0674C">
            <w:pPr>
              <w:pStyle w:val="TableRowCentered"/>
              <w:jc w:val="left"/>
              <w:rPr>
                <w:sz w:val="22"/>
              </w:rPr>
            </w:pPr>
            <w:r>
              <w:rPr>
                <w:sz w:val="22"/>
              </w:rPr>
              <w:t>1,2,3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4421792" w:rsidR="00E66558" w:rsidRDefault="00E0674C">
      <w:r w:rsidRPr="0044223B">
        <w:t xml:space="preserve">Budgeted cost: </w:t>
      </w:r>
      <w:r w:rsidR="009A2A59" w:rsidRPr="0044223B">
        <w:t>£</w:t>
      </w:r>
      <w:r w:rsidR="007173C7">
        <w:t>30</w:t>
      </w:r>
      <w:r w:rsidR="00624A76" w:rsidRPr="0044223B">
        <w:t>00</w:t>
      </w:r>
      <w:r w:rsidR="009A2A59" w:rsidRPr="0044223B">
        <w:t>-</w:t>
      </w:r>
      <w:r w:rsidR="007173C7">
        <w:t xml:space="preserve">Before and </w:t>
      </w:r>
      <w:r w:rsidR="009A2A59" w:rsidRPr="0044223B">
        <w:t>After school interventions</w:t>
      </w:r>
      <w:r w:rsidR="003C63AF" w:rsidRPr="0044223B">
        <w:t xml:space="preserve"> </w:t>
      </w:r>
      <w:r w:rsidR="0044223B">
        <w:t>£</w:t>
      </w:r>
      <w:r w:rsidR="007173C7">
        <w:t>6</w:t>
      </w:r>
      <w:r w:rsidR="003C63AF" w:rsidRPr="0044223B">
        <w:t xml:space="preserve">,000 for </w:t>
      </w:r>
      <w:r w:rsidR="00E11321">
        <w:t xml:space="preserve">in school </w:t>
      </w:r>
      <w:r w:rsidR="003C63AF" w:rsidRPr="0044223B">
        <w:t>interventions</w:t>
      </w:r>
      <w:r w:rsidR="0044223B">
        <w:t xml:space="preserve"> </w:t>
      </w:r>
      <w:r w:rsidR="00E11321">
        <w:t xml:space="preserve">and </w:t>
      </w:r>
      <w:proofErr w:type="spellStart"/>
      <w:r w:rsidR="00E11321">
        <w:t>nuture</w:t>
      </w:r>
      <w:proofErr w:type="spellEnd"/>
      <w:r w:rsidR="00E11321">
        <w:t xml:space="preserve"> </w:t>
      </w:r>
      <w:r w:rsidR="003C63AF" w:rsidRPr="0044223B">
        <w:t>=</w:t>
      </w:r>
      <w:r w:rsidR="0044223B">
        <w:t xml:space="preserve"> </w:t>
      </w:r>
      <w:r w:rsidR="0044223B" w:rsidRPr="0062389E">
        <w:rPr>
          <w:b/>
          <w:color w:val="244061" w:themeColor="accent1" w:themeShade="80"/>
          <w:sz w:val="28"/>
        </w:rPr>
        <w:t>£</w:t>
      </w:r>
      <w:r w:rsidR="007173C7">
        <w:rPr>
          <w:b/>
          <w:color w:val="244061" w:themeColor="accent1" w:themeShade="80"/>
          <w:sz w:val="28"/>
        </w:rPr>
        <w:t>9000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DC3BE28" w:rsidR="006758AB" w:rsidRDefault="00260D24" w:rsidP="00E0674C">
            <w:pPr>
              <w:pStyle w:val="TableRow"/>
              <w:ind w:left="0"/>
            </w:pPr>
            <w:r>
              <w:rPr>
                <w:i/>
                <w:iCs/>
                <w:sz w:val="22"/>
                <w:szCs w:val="22"/>
              </w:rPr>
              <w:t>I</w:t>
            </w:r>
            <w:r w:rsidR="006758AB">
              <w:rPr>
                <w:i/>
                <w:iCs/>
                <w:sz w:val="22"/>
                <w:szCs w:val="22"/>
              </w:rPr>
              <w:t xml:space="preserve">nterventions </w:t>
            </w:r>
            <w:r w:rsidR="00E0674C">
              <w:rPr>
                <w:i/>
                <w:iCs/>
                <w:sz w:val="22"/>
                <w:szCs w:val="22"/>
              </w:rPr>
              <w:t xml:space="preserve">delivered by fully trained TAs, HLTAs and teachers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5DECF54" w:rsidR="00E66558" w:rsidRPr="006758AB" w:rsidRDefault="006758AB" w:rsidP="00CB3E4B">
            <w:pPr>
              <w:pStyle w:val="TableRowCentered"/>
              <w:jc w:val="left"/>
              <w:rPr>
                <w:rFonts w:asciiTheme="minorHAnsi" w:hAnsiTheme="minorHAnsi" w:cstheme="minorHAnsi"/>
                <w:sz w:val="20"/>
              </w:rPr>
            </w:pPr>
            <w:r w:rsidRPr="006758AB">
              <w:rPr>
                <w:rFonts w:asciiTheme="minorHAnsi" w:hAnsiTheme="minorHAnsi" w:cstheme="minorHAnsi"/>
                <w:sz w:val="20"/>
              </w:rPr>
              <w:t xml:space="preserve">EEF states </w:t>
            </w:r>
            <w:r w:rsidRPr="006758AB">
              <w:rPr>
                <w:rFonts w:asciiTheme="minorHAnsi" w:hAnsiTheme="minorHAnsi" w:cstheme="minorHAnsi"/>
                <w:sz w:val="20"/>
                <w:lang w:val="en"/>
              </w:rPr>
              <w:t xml:space="preserve">that there is good evidence that one-to-one and small group tuition can have a positive impact on attainment. </w:t>
            </w:r>
            <w:r w:rsidR="00CB3E4B">
              <w:rPr>
                <w:rFonts w:asciiTheme="minorHAnsi" w:hAnsiTheme="minorHAnsi" w:cstheme="minorHAnsi"/>
                <w:sz w:val="20"/>
              </w:rPr>
              <w:t xml:space="preserve"> </w:t>
            </w:r>
            <w:r>
              <w:rPr>
                <w:rFonts w:asciiTheme="minorHAnsi" w:hAnsiTheme="minorHAnsi" w:cstheme="minorHAnsi"/>
                <w:sz w:val="20"/>
              </w:rPr>
              <w:t xml:space="preserve">Children have been carefully selected for </w:t>
            </w:r>
            <w:r w:rsidR="005D0840">
              <w:rPr>
                <w:rFonts w:asciiTheme="minorHAnsi" w:hAnsiTheme="minorHAnsi" w:cstheme="minorHAnsi"/>
                <w:sz w:val="20"/>
              </w:rPr>
              <w:t xml:space="preserve">small </w:t>
            </w:r>
            <w:r>
              <w:rPr>
                <w:rFonts w:asciiTheme="minorHAnsi" w:hAnsiTheme="minorHAnsi" w:cstheme="minorHAnsi"/>
                <w:sz w:val="20"/>
              </w:rPr>
              <w:t>intervention groups</w:t>
            </w:r>
            <w:r w:rsidR="00E0674C">
              <w:rPr>
                <w:rFonts w:asciiTheme="minorHAnsi" w:hAnsiTheme="minorHAnsi" w:cstheme="minorHAnsi"/>
                <w:sz w:val="20"/>
              </w:rPr>
              <w:t>, and staff allocated to deliver either before, during or after the school day</w:t>
            </w:r>
            <w:r w:rsidR="005D0840">
              <w:rPr>
                <w:rFonts w:asciiTheme="minorHAnsi" w:hAnsiTheme="minorHAnsi" w:cstheme="minorHAnsi"/>
                <w:sz w:val="20"/>
              </w:rPr>
              <w:t>. Training for new staff to implement First Class at Number programme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D419991" w:rsidR="00E66558" w:rsidRDefault="007110F3">
            <w:pPr>
              <w:pStyle w:val="TableRowCentered"/>
              <w:jc w:val="left"/>
              <w:rPr>
                <w:sz w:val="22"/>
              </w:rPr>
            </w:pPr>
            <w:r>
              <w:rPr>
                <w:sz w:val="22"/>
              </w:rPr>
              <w:t>1,2,3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2596CD1E" w:rsidR="00E66558" w:rsidRDefault="009D71E8">
      <w:pPr>
        <w:spacing w:before="240" w:after="120"/>
      </w:pPr>
      <w:r>
        <w:t xml:space="preserve">Budgeted cost: </w:t>
      </w:r>
      <w:r w:rsidRPr="0062389E">
        <w:rPr>
          <w:b/>
          <w:color w:val="244061" w:themeColor="accent1" w:themeShade="80"/>
          <w:sz w:val="26"/>
        </w:rPr>
        <w:t xml:space="preserve">£ </w:t>
      </w:r>
      <w:r w:rsidR="00E0674C" w:rsidRPr="0062389E">
        <w:rPr>
          <w:b/>
          <w:color w:val="244061" w:themeColor="accent1" w:themeShade="80"/>
          <w:sz w:val="26"/>
        </w:rPr>
        <w:t>4</w:t>
      </w:r>
      <w:r w:rsidR="00E11321">
        <w:rPr>
          <w:b/>
          <w:color w:val="244061" w:themeColor="accent1" w:themeShade="80"/>
          <w:sz w:val="26"/>
        </w:rPr>
        <w:t>6,390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77475A5" w:rsidR="00E66558" w:rsidRDefault="00517315">
            <w:pPr>
              <w:pStyle w:val="TableRow"/>
            </w:pPr>
            <w:r>
              <w:rPr>
                <w:i/>
                <w:iCs/>
                <w:sz w:val="22"/>
                <w:szCs w:val="22"/>
              </w:rPr>
              <w:t xml:space="preserve">Pastoral </w:t>
            </w:r>
            <w:r w:rsidR="0062389E">
              <w:rPr>
                <w:i/>
                <w:iCs/>
                <w:sz w:val="22"/>
                <w:szCs w:val="22"/>
              </w:rPr>
              <w:t xml:space="preserve">Team </w:t>
            </w:r>
            <w:r w:rsidR="00625824">
              <w:rPr>
                <w:i/>
                <w:iCs/>
                <w:sz w:val="22"/>
                <w:szCs w:val="22"/>
              </w:rPr>
              <w:t xml:space="preserve">supporting </w:t>
            </w:r>
            <w:r w:rsidR="00CB3E4B">
              <w:rPr>
                <w:i/>
                <w:iCs/>
                <w:sz w:val="22"/>
                <w:szCs w:val="22"/>
              </w:rPr>
              <w:t xml:space="preserve">and mentoring </w:t>
            </w:r>
            <w:r w:rsidR="00625824">
              <w:rPr>
                <w:i/>
                <w:iCs/>
                <w:sz w:val="22"/>
                <w:szCs w:val="22"/>
              </w:rPr>
              <w:t>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1820C" w14:textId="77777777" w:rsidR="00815BEF" w:rsidRDefault="006758AB" w:rsidP="00625824">
            <w:pPr>
              <w:pStyle w:val="TableRowCentered"/>
              <w:jc w:val="left"/>
              <w:rPr>
                <w:rFonts w:asciiTheme="minorHAnsi" w:hAnsiTheme="minorHAnsi" w:cstheme="minorHAnsi"/>
                <w:sz w:val="20"/>
              </w:rPr>
            </w:pPr>
            <w:r>
              <w:rPr>
                <w:rFonts w:asciiTheme="minorHAnsi" w:hAnsiTheme="minorHAnsi" w:cstheme="minorHAnsi"/>
                <w:sz w:val="20"/>
              </w:rPr>
              <w:t>EEF states mentoring approaches</w:t>
            </w:r>
            <w:r>
              <w:rPr>
                <w:lang w:val="en"/>
              </w:rPr>
              <w:t xml:space="preserve">‘ </w:t>
            </w:r>
            <w:r>
              <w:rPr>
                <w:rFonts w:asciiTheme="minorHAnsi" w:hAnsiTheme="minorHAnsi" w:cstheme="minorHAnsi"/>
                <w:sz w:val="20"/>
                <w:lang w:val="en"/>
              </w:rPr>
              <w:t xml:space="preserve">have </w:t>
            </w:r>
            <w:r w:rsidRPr="006758AB">
              <w:rPr>
                <w:rFonts w:asciiTheme="minorHAnsi" w:hAnsiTheme="minorHAnsi" w:cstheme="minorHAnsi"/>
                <w:sz w:val="20"/>
                <w:lang w:val="en"/>
              </w:rPr>
              <w:t xml:space="preserve">more positive impacts for pupils from disadvantaged backgrounds, and for non-academic outcomes such as attitudes to school, attendance and </w:t>
            </w:r>
            <w:proofErr w:type="spellStart"/>
            <w:r w:rsidRPr="006758AB">
              <w:rPr>
                <w:rFonts w:asciiTheme="minorHAnsi" w:hAnsiTheme="minorHAnsi" w:cstheme="minorHAnsi"/>
                <w:sz w:val="20"/>
                <w:lang w:val="en"/>
              </w:rPr>
              <w:t>behaviour</w:t>
            </w:r>
            <w:proofErr w:type="spellEnd"/>
            <w:r w:rsidRPr="006758AB">
              <w:rPr>
                <w:rFonts w:asciiTheme="minorHAnsi" w:hAnsiTheme="minorHAnsi" w:cstheme="minorHAnsi"/>
                <w:sz w:val="20"/>
                <w:lang w:val="en"/>
              </w:rPr>
              <w:t>’.</w:t>
            </w:r>
            <w:r w:rsidR="00625824">
              <w:rPr>
                <w:rFonts w:asciiTheme="minorHAnsi" w:hAnsiTheme="minorHAnsi" w:cstheme="minorHAnsi"/>
                <w:sz w:val="20"/>
                <w:lang w:val="en"/>
              </w:rPr>
              <w:t xml:space="preserve">  </w:t>
            </w:r>
            <w:r w:rsidR="00625824" w:rsidRPr="006758AB">
              <w:rPr>
                <w:rFonts w:asciiTheme="minorHAnsi" w:hAnsiTheme="minorHAnsi" w:cstheme="minorHAnsi"/>
                <w:sz w:val="20"/>
              </w:rPr>
              <w:t xml:space="preserve">More chaotic home lives often means PP children feel unprepared for a day </w:t>
            </w:r>
            <w:r w:rsidR="00625824">
              <w:rPr>
                <w:rFonts w:asciiTheme="minorHAnsi" w:hAnsiTheme="minorHAnsi" w:cstheme="minorHAnsi"/>
                <w:sz w:val="20"/>
              </w:rPr>
              <w:t>of learning at school. Focused mentoring sessions</w:t>
            </w:r>
            <w:r w:rsidR="00625824" w:rsidRPr="006758AB">
              <w:rPr>
                <w:rFonts w:asciiTheme="minorHAnsi" w:hAnsiTheme="minorHAnsi" w:cstheme="minorHAnsi"/>
                <w:sz w:val="20"/>
              </w:rPr>
              <w:t>, along with informal check ins have had an impact on children’s attitudes to learning in class</w:t>
            </w:r>
            <w:r w:rsidR="00625824">
              <w:rPr>
                <w:rFonts w:asciiTheme="minorHAnsi" w:hAnsiTheme="minorHAnsi" w:cstheme="minorHAnsi"/>
                <w:sz w:val="20"/>
              </w:rPr>
              <w:t>.</w:t>
            </w:r>
            <w:r w:rsidR="00AF75E4">
              <w:rPr>
                <w:rFonts w:asciiTheme="minorHAnsi" w:hAnsiTheme="minorHAnsi" w:cstheme="minorHAnsi"/>
                <w:sz w:val="20"/>
              </w:rPr>
              <w:t xml:space="preserve"> </w:t>
            </w:r>
          </w:p>
          <w:p w14:paraId="09B7AA45" w14:textId="7902824F" w:rsidR="00815BEF" w:rsidRDefault="00815BEF" w:rsidP="00625824">
            <w:pPr>
              <w:pStyle w:val="TableRowCentered"/>
              <w:jc w:val="left"/>
              <w:rPr>
                <w:rFonts w:asciiTheme="minorHAnsi" w:hAnsiTheme="minorHAnsi" w:cstheme="minorHAnsi"/>
                <w:sz w:val="20"/>
              </w:rPr>
            </w:pPr>
            <w:r>
              <w:rPr>
                <w:rFonts w:asciiTheme="minorHAnsi" w:hAnsiTheme="minorHAnsi" w:cstheme="minorHAnsi"/>
                <w:sz w:val="20"/>
              </w:rPr>
              <w:t xml:space="preserve">Pastoral manager (Mental Health trained) to offer support to pupils and families </w:t>
            </w:r>
          </w:p>
          <w:p w14:paraId="2A7D5539" w14:textId="581A72EC" w:rsidR="006758AB" w:rsidRPr="006758AB" w:rsidRDefault="00815BEF" w:rsidP="00625824">
            <w:pPr>
              <w:pStyle w:val="TableRowCentered"/>
              <w:jc w:val="left"/>
              <w:rPr>
                <w:rFonts w:asciiTheme="minorHAnsi" w:hAnsiTheme="minorHAnsi" w:cstheme="minorHAnsi"/>
                <w:sz w:val="20"/>
              </w:rPr>
            </w:pPr>
            <w:r>
              <w:rPr>
                <w:rFonts w:asciiTheme="minorHAnsi" w:hAnsiTheme="minorHAnsi" w:cstheme="minorHAnsi"/>
                <w:sz w:val="20"/>
              </w:rPr>
              <w:t xml:space="preserve">Trained </w:t>
            </w:r>
            <w:r w:rsidR="00AF75E4">
              <w:rPr>
                <w:rFonts w:asciiTheme="minorHAnsi" w:hAnsiTheme="minorHAnsi" w:cstheme="minorHAnsi"/>
                <w:sz w:val="20"/>
              </w:rPr>
              <w:t>ELSA</w:t>
            </w:r>
            <w:r>
              <w:rPr>
                <w:rFonts w:asciiTheme="minorHAnsi" w:hAnsiTheme="minorHAnsi" w:cstheme="minorHAnsi"/>
                <w:sz w:val="20"/>
              </w:rPr>
              <w:t xml:space="preserve"> to offer</w:t>
            </w:r>
            <w:r w:rsidR="00AF75E4">
              <w:rPr>
                <w:rFonts w:asciiTheme="minorHAnsi" w:hAnsiTheme="minorHAnsi" w:cstheme="minorHAnsi"/>
                <w:sz w:val="20"/>
              </w:rPr>
              <w:t xml:space="preserve"> support </w:t>
            </w:r>
            <w:r>
              <w:rPr>
                <w:rFonts w:asciiTheme="minorHAnsi" w:hAnsiTheme="minorHAnsi" w:cstheme="minorHAnsi"/>
                <w:sz w:val="20"/>
              </w:rPr>
              <w:t xml:space="preserve">is provided </w:t>
            </w:r>
            <w:r w:rsidR="00AF75E4">
              <w:rPr>
                <w:rFonts w:asciiTheme="minorHAnsi" w:hAnsiTheme="minorHAnsi" w:cstheme="minorHAnsi"/>
                <w:sz w:val="20"/>
              </w:rPr>
              <w:t xml:space="preserve">for pupils who </w:t>
            </w:r>
            <w:proofErr w:type="gramStart"/>
            <w:r w:rsidR="00AF75E4">
              <w:rPr>
                <w:rFonts w:asciiTheme="minorHAnsi" w:hAnsiTheme="minorHAnsi" w:cstheme="minorHAnsi"/>
                <w:sz w:val="20"/>
              </w:rPr>
              <w:t>are in need of</w:t>
            </w:r>
            <w:proofErr w:type="gramEnd"/>
            <w:r w:rsidR="00AF75E4">
              <w:rPr>
                <w:rFonts w:asciiTheme="minorHAnsi" w:hAnsiTheme="minorHAnsi" w:cstheme="minorHAnsi"/>
                <w:sz w:val="20"/>
              </w:rPr>
              <w:t xml:space="preserve"> more focused sessions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4BE7ABE" w:rsidR="00E66558" w:rsidRDefault="00625824">
            <w:pPr>
              <w:pStyle w:val="TableRowCentered"/>
              <w:jc w:val="left"/>
              <w:rPr>
                <w:sz w:val="22"/>
              </w:rPr>
            </w:pPr>
            <w:r>
              <w:rPr>
                <w:sz w:val="22"/>
              </w:rPr>
              <w:t>3,4,5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74DCF22" w:rsidR="00E66558" w:rsidRDefault="00625824" w:rsidP="00684F80">
            <w:pPr>
              <w:pStyle w:val="TableRow"/>
              <w:rPr>
                <w:i/>
                <w:sz w:val="22"/>
              </w:rPr>
            </w:pPr>
            <w:r>
              <w:rPr>
                <w:i/>
                <w:sz w:val="22"/>
              </w:rPr>
              <w:t xml:space="preserve">Pastoral </w:t>
            </w:r>
            <w:r w:rsidR="0062389E">
              <w:rPr>
                <w:i/>
                <w:sz w:val="22"/>
              </w:rPr>
              <w:t xml:space="preserve">Manager </w:t>
            </w:r>
            <w:r>
              <w:rPr>
                <w:i/>
                <w:sz w:val="22"/>
              </w:rPr>
              <w:t xml:space="preserve">leading workshops </w:t>
            </w:r>
            <w:r w:rsidR="00684F80">
              <w:rPr>
                <w:i/>
                <w:sz w:val="22"/>
              </w:rPr>
              <w:t>and developing better parental engagement</w:t>
            </w:r>
            <w:r w:rsidR="00CB3E4B">
              <w:rPr>
                <w:i/>
                <w:sz w:val="22"/>
              </w:rPr>
              <w:t xml:space="preserve"> for key families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31C5A" w14:textId="77777777" w:rsidR="00815BEF" w:rsidRDefault="00625824" w:rsidP="00625824">
            <w:pPr>
              <w:pStyle w:val="TableRowCentered"/>
              <w:jc w:val="left"/>
              <w:rPr>
                <w:rFonts w:asciiTheme="minorHAnsi" w:hAnsiTheme="minorHAnsi" w:cstheme="minorHAnsi"/>
                <w:sz w:val="20"/>
                <w:lang w:val="en"/>
              </w:rPr>
            </w:pPr>
            <w:r>
              <w:rPr>
                <w:rFonts w:asciiTheme="minorHAnsi" w:hAnsiTheme="minorHAnsi" w:cstheme="minorHAnsi"/>
                <w:sz w:val="20"/>
                <w:lang w:val="en"/>
              </w:rPr>
              <w:t>EEF guidance states that p</w:t>
            </w:r>
            <w:r w:rsidRPr="00625824">
              <w:rPr>
                <w:rFonts w:asciiTheme="minorHAnsi" w:hAnsiTheme="minorHAnsi" w:cstheme="minorHAnsi"/>
                <w:sz w:val="20"/>
                <w:lang w:val="en"/>
              </w:rPr>
              <w:t>arents play a crucial role in supporting their children’s learning, and levels of parental engagement are consistently associated with academic outcomes.</w:t>
            </w:r>
            <w:r w:rsidR="00AF75E4">
              <w:rPr>
                <w:rFonts w:asciiTheme="minorHAnsi" w:hAnsiTheme="minorHAnsi" w:cstheme="minorHAnsi"/>
                <w:sz w:val="20"/>
                <w:lang w:val="en"/>
              </w:rPr>
              <w:t xml:space="preserve"> </w:t>
            </w:r>
          </w:p>
          <w:p w14:paraId="2A7D553D" w14:textId="58D25F99" w:rsidR="00E66558" w:rsidRPr="00625824" w:rsidRDefault="00AF75E4" w:rsidP="00625824">
            <w:pPr>
              <w:pStyle w:val="TableRowCentered"/>
              <w:jc w:val="left"/>
              <w:rPr>
                <w:rFonts w:asciiTheme="minorHAnsi" w:hAnsiTheme="minorHAnsi" w:cstheme="minorHAnsi"/>
                <w:sz w:val="20"/>
              </w:rPr>
            </w:pPr>
            <w:r>
              <w:rPr>
                <w:rFonts w:asciiTheme="minorHAnsi" w:hAnsiTheme="minorHAnsi" w:cstheme="minorHAnsi"/>
                <w:sz w:val="20"/>
                <w:lang w:val="en"/>
              </w:rPr>
              <w:t>Families specifically</w:t>
            </w:r>
            <w:r w:rsidR="00815BEF">
              <w:rPr>
                <w:rFonts w:asciiTheme="minorHAnsi" w:hAnsiTheme="minorHAnsi" w:cstheme="minorHAnsi"/>
                <w:sz w:val="20"/>
                <w:lang w:val="en"/>
              </w:rPr>
              <w:t xml:space="preserve"> targeted </w:t>
            </w:r>
            <w:proofErr w:type="gramStart"/>
            <w:r w:rsidR="00815BEF">
              <w:rPr>
                <w:rFonts w:asciiTheme="minorHAnsi" w:hAnsiTheme="minorHAnsi" w:cstheme="minorHAnsi"/>
                <w:sz w:val="20"/>
                <w:lang w:val="en"/>
              </w:rPr>
              <w:t xml:space="preserve">and </w:t>
            </w:r>
            <w:r>
              <w:rPr>
                <w:rFonts w:asciiTheme="minorHAnsi" w:hAnsiTheme="minorHAnsi" w:cstheme="minorHAnsi"/>
                <w:sz w:val="20"/>
                <w:lang w:val="en"/>
              </w:rPr>
              <w:t xml:space="preserve"> invited</w:t>
            </w:r>
            <w:proofErr w:type="gramEnd"/>
            <w:r>
              <w:rPr>
                <w:rFonts w:asciiTheme="minorHAnsi" w:hAnsiTheme="minorHAnsi" w:cstheme="minorHAnsi"/>
                <w:sz w:val="20"/>
                <w:lang w:val="en"/>
              </w:rPr>
              <w:t xml:space="preserve"> to attend the parenting sessions Spring 2024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6E2CA30" w:rsidR="00E66558" w:rsidRDefault="00625824">
            <w:pPr>
              <w:pStyle w:val="TableRowCentered"/>
              <w:jc w:val="left"/>
              <w:rPr>
                <w:sz w:val="22"/>
              </w:rPr>
            </w:pPr>
            <w:r>
              <w:rPr>
                <w:sz w:val="22"/>
              </w:rPr>
              <w:t>1,2,3,4,5</w:t>
            </w:r>
          </w:p>
        </w:tc>
      </w:tr>
      <w:tr w:rsidR="00CA11F7" w14:paraId="5045EDC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737B" w14:textId="77777777" w:rsidR="00CA11F7" w:rsidRDefault="00CA11F7" w:rsidP="00684F80">
            <w:pPr>
              <w:pStyle w:val="TableRow"/>
              <w:rPr>
                <w:i/>
                <w:sz w:val="22"/>
              </w:rPr>
            </w:pPr>
            <w:r>
              <w:rPr>
                <w:i/>
                <w:sz w:val="22"/>
              </w:rPr>
              <w:t xml:space="preserve">Attendance Team at school work with Trust Attendance Officer </w:t>
            </w:r>
          </w:p>
          <w:p w14:paraId="53D34310" w14:textId="1F867B14" w:rsidR="00CB3E4B" w:rsidRDefault="00CB3E4B" w:rsidP="00684F80">
            <w:pPr>
              <w:pStyle w:val="TableRow"/>
              <w:rPr>
                <w:i/>
                <w:sz w:val="22"/>
              </w:rPr>
            </w:pPr>
            <w:proofErr w:type="spellStart"/>
            <w:r>
              <w:rPr>
                <w:i/>
                <w:sz w:val="22"/>
              </w:rPr>
              <w:t>Extra Curricular</w:t>
            </w:r>
            <w:proofErr w:type="spellEnd"/>
            <w:r>
              <w:rPr>
                <w:i/>
                <w:sz w:val="22"/>
              </w:rPr>
              <w:t xml:space="preserve"> and enhancing curricular activities offered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D9634" w14:textId="77777777" w:rsidR="00CA11F7" w:rsidRPr="00CA11F7" w:rsidRDefault="00CA11F7" w:rsidP="00CA11F7">
            <w:pPr>
              <w:pStyle w:val="Default"/>
              <w:numPr>
                <w:ilvl w:val="0"/>
                <w:numId w:val="1"/>
              </w:numPr>
              <w:rPr>
                <w:rFonts w:asciiTheme="minorHAnsi" w:hAnsiTheme="minorHAnsi" w:cstheme="minorHAnsi"/>
                <w:color w:val="auto"/>
                <w:sz w:val="20"/>
                <w:szCs w:val="20"/>
              </w:rPr>
            </w:pPr>
            <w:r w:rsidRPr="00CA11F7">
              <w:rPr>
                <w:rFonts w:asciiTheme="minorHAnsi" w:hAnsiTheme="minorHAnsi" w:cstheme="minorHAnsi"/>
                <w:sz w:val="20"/>
                <w:szCs w:val="20"/>
              </w:rPr>
              <w:t xml:space="preserve">The EEF states that children who have good attendance at school tend to achieve higher than those that do not and that children who can take advantages of the full school offer are more likely to achieve higher that those children who do not </w:t>
            </w:r>
          </w:p>
          <w:p w14:paraId="6AC0A3D6" w14:textId="5C8E578F" w:rsidR="00815BEF" w:rsidRDefault="00815BEF" w:rsidP="00815BEF">
            <w:pPr>
              <w:pStyle w:val="TableRowCentered"/>
              <w:jc w:val="left"/>
              <w:rPr>
                <w:rFonts w:asciiTheme="minorHAnsi" w:hAnsiTheme="minorHAnsi" w:cstheme="minorHAnsi"/>
                <w:sz w:val="20"/>
                <w:lang w:val="en"/>
              </w:rPr>
            </w:pPr>
            <w:r>
              <w:rPr>
                <w:rFonts w:asciiTheme="minorHAnsi" w:hAnsiTheme="minorHAnsi" w:cstheme="minorHAnsi"/>
                <w:sz w:val="20"/>
                <w:lang w:val="en"/>
              </w:rPr>
              <w:t xml:space="preserve">Attendance Team mentoring key families. Initiatives in places to incentive good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A3F93" w14:textId="1C516742" w:rsidR="00CA11F7" w:rsidRDefault="00CB3E4B">
            <w:pPr>
              <w:pStyle w:val="TableRowCentered"/>
              <w:jc w:val="left"/>
              <w:rPr>
                <w:sz w:val="22"/>
              </w:rPr>
            </w:pPr>
            <w:r>
              <w:rPr>
                <w:sz w:val="22"/>
              </w:rPr>
              <w:t>5</w:t>
            </w:r>
          </w:p>
        </w:tc>
      </w:tr>
      <w:tr w:rsidR="00037BA5" w14:paraId="24058D9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84C13" w14:textId="04005F79" w:rsidR="00037BA5" w:rsidRDefault="00037BA5" w:rsidP="00684F80">
            <w:pPr>
              <w:pStyle w:val="TableRow"/>
              <w:rPr>
                <w:i/>
                <w:sz w:val="22"/>
              </w:rPr>
            </w:pPr>
            <w:r>
              <w:rPr>
                <w:i/>
                <w:sz w:val="22"/>
              </w:rPr>
              <w:t>Trips, residentials, Visitors to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E332E" w14:textId="15E0DACF" w:rsidR="00037BA5" w:rsidRDefault="00037BA5" w:rsidP="00CA11F7">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 xml:space="preserve">EEF – Tiered model of approaches </w:t>
            </w:r>
            <w:r w:rsidR="00AF75E4">
              <w:rPr>
                <w:rFonts w:asciiTheme="minorHAnsi" w:hAnsiTheme="minorHAnsi" w:cstheme="minorHAnsi"/>
                <w:sz w:val="20"/>
                <w:szCs w:val="20"/>
              </w:rPr>
              <w:t>–</w:t>
            </w:r>
            <w:r>
              <w:rPr>
                <w:rFonts w:asciiTheme="minorHAnsi" w:hAnsiTheme="minorHAnsi" w:cstheme="minorHAnsi"/>
                <w:sz w:val="20"/>
                <w:szCs w:val="20"/>
              </w:rPr>
              <w:t xml:space="preserve"> Enrichment</w:t>
            </w:r>
            <w:r w:rsidR="00AF75E4">
              <w:rPr>
                <w:rFonts w:asciiTheme="minorHAnsi" w:hAnsiTheme="minorHAnsi" w:cstheme="minorHAnsi"/>
                <w:sz w:val="20"/>
                <w:szCs w:val="20"/>
              </w:rPr>
              <w:t xml:space="preserve"> activities for all year groups. PP pupils specifically guided to attend trips and clubs</w:t>
            </w:r>
            <w:r w:rsidR="00815BEF">
              <w:rPr>
                <w:rFonts w:asciiTheme="minorHAnsi" w:hAnsiTheme="minorHAnsi" w:cstheme="minorHAnsi"/>
                <w:sz w:val="20"/>
                <w:szCs w:val="20"/>
              </w:rPr>
              <w:t xml:space="preserve"> to raise aspirations and cultural capital </w:t>
            </w:r>
          </w:p>
          <w:p w14:paraId="127B5B68" w14:textId="5BC1F418" w:rsidR="00815BEF" w:rsidRPr="00CA11F7" w:rsidRDefault="00815BEF" w:rsidP="00CA11F7">
            <w:pPr>
              <w:pStyle w:val="Default"/>
              <w:numPr>
                <w:ilvl w:val="0"/>
                <w:numId w:val="1"/>
              </w:numPr>
              <w:rPr>
                <w:rFonts w:asciiTheme="minorHAnsi" w:hAnsiTheme="minorHAnsi" w:cstheme="minorHAnsi"/>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6AD7" w14:textId="146AFD19" w:rsidR="00037BA5" w:rsidRDefault="00037BA5">
            <w:pPr>
              <w:pStyle w:val="TableRowCentered"/>
              <w:jc w:val="left"/>
              <w:rPr>
                <w:sz w:val="22"/>
              </w:rPr>
            </w:pPr>
            <w:bookmarkStart w:id="17" w:name="_GoBack"/>
            <w:bookmarkEnd w:id="17"/>
          </w:p>
        </w:tc>
      </w:tr>
    </w:tbl>
    <w:p w14:paraId="2A7D5540" w14:textId="77777777" w:rsidR="00E66558" w:rsidRDefault="00E66558">
      <w:pPr>
        <w:spacing w:before="240" w:after="0"/>
        <w:rPr>
          <w:b/>
          <w:bCs/>
          <w:color w:val="104F75"/>
          <w:sz w:val="28"/>
          <w:szCs w:val="28"/>
        </w:rPr>
      </w:pPr>
    </w:p>
    <w:p w14:paraId="2A7D5541" w14:textId="79316691" w:rsidR="00E66558" w:rsidRDefault="009D71E8" w:rsidP="00120AB1">
      <w:r>
        <w:rPr>
          <w:b/>
          <w:bCs/>
          <w:color w:val="104F75"/>
          <w:sz w:val="28"/>
          <w:szCs w:val="28"/>
        </w:rPr>
        <w:t xml:space="preserve">Total budgeted cost: </w:t>
      </w:r>
      <w:r w:rsidRPr="0062389E">
        <w:rPr>
          <w:b/>
          <w:bCs/>
          <w:color w:val="104F75"/>
          <w:sz w:val="28"/>
          <w:szCs w:val="28"/>
        </w:rPr>
        <w:t xml:space="preserve">£ </w:t>
      </w:r>
      <w:r w:rsidR="009A2A59" w:rsidRPr="0062389E">
        <w:rPr>
          <w:b/>
          <w:color w:val="244061" w:themeColor="accent1" w:themeShade="80"/>
          <w:sz w:val="28"/>
        </w:rPr>
        <w:t>10</w:t>
      </w:r>
      <w:r w:rsidR="00E11321">
        <w:rPr>
          <w:b/>
          <w:color w:val="244061" w:themeColor="accent1" w:themeShade="80"/>
          <w:sz w:val="28"/>
        </w:rPr>
        <w:t>5,390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4855B75" w:rsidR="00E66558" w:rsidRDefault="009D71E8">
      <w:r>
        <w:t>This details the impact that our pupil premium activity had on pupils in the 202</w:t>
      </w:r>
      <w:r w:rsidR="00AF75E4">
        <w:t>2</w:t>
      </w:r>
      <w:r>
        <w:t xml:space="preserve"> to 202</w:t>
      </w:r>
      <w:r w:rsidR="00AF75E4">
        <w:t>3</w:t>
      </w:r>
      <w:r>
        <w:t xml:space="preserve"> academic year. </w:t>
      </w:r>
    </w:p>
    <w:tbl>
      <w:tblPr>
        <w:tblW w:w="10632" w:type="dxa"/>
        <w:tblInd w:w="-289" w:type="dxa"/>
        <w:tblCellMar>
          <w:left w:w="10" w:type="dxa"/>
          <w:right w:w="10" w:type="dxa"/>
        </w:tblCellMar>
        <w:tblLook w:val="04A0" w:firstRow="1" w:lastRow="0" w:firstColumn="1" w:lastColumn="0" w:noHBand="0" w:noVBand="1"/>
      </w:tblPr>
      <w:tblGrid>
        <w:gridCol w:w="10632"/>
      </w:tblGrid>
      <w:tr w:rsidR="00E66558" w14:paraId="2A7D5547" w14:textId="77777777" w:rsidTr="0090212B">
        <w:trPr>
          <w:trHeight w:val="1102"/>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E032B" w14:textId="5B4EF015" w:rsidR="00D677A2" w:rsidRDefault="00451FB3" w:rsidP="00411FF4">
            <w:pPr>
              <w:spacing w:before="120"/>
              <w:rPr>
                <w:b/>
                <w:lang w:eastAsia="en-US"/>
              </w:rPr>
            </w:pPr>
            <w:r w:rsidRPr="00451FB3">
              <w:rPr>
                <w:b/>
                <w:lang w:eastAsia="en-US"/>
              </w:rPr>
              <w:t xml:space="preserve">Impact </w:t>
            </w:r>
            <w:r w:rsidR="00E97FA5">
              <w:rPr>
                <w:b/>
                <w:lang w:eastAsia="en-US"/>
              </w:rPr>
              <w:t>on improving pupil progress and outcomes for all</w:t>
            </w:r>
          </w:p>
          <w:p w14:paraId="44F8AD86" w14:textId="5D58EF9F" w:rsidR="00317613" w:rsidRPr="001646D1" w:rsidRDefault="00317613" w:rsidP="00411FF4">
            <w:pPr>
              <w:spacing w:before="120"/>
              <w:rPr>
                <w:b/>
                <w:sz w:val="20"/>
                <w:szCs w:val="20"/>
                <w:lang w:eastAsia="en-US"/>
              </w:rPr>
            </w:pPr>
            <w:r w:rsidRPr="001646D1">
              <w:rPr>
                <w:b/>
                <w:sz w:val="20"/>
                <w:szCs w:val="20"/>
                <w:lang w:eastAsia="en-US"/>
              </w:rPr>
              <w:t>EYFS Good level of development</w:t>
            </w:r>
          </w:p>
          <w:p w14:paraId="37ED9EDF" w14:textId="293C1D7E" w:rsidR="00317613" w:rsidRDefault="00E97FA5" w:rsidP="00317613">
            <w:pPr>
              <w:spacing w:before="120"/>
            </w:pPr>
            <w:r w:rsidRPr="001646D1">
              <w:rPr>
                <w:sz w:val="20"/>
                <w:szCs w:val="20"/>
              </w:rPr>
              <w:t>M</w:t>
            </w:r>
            <w:r w:rsidR="00317613" w:rsidRPr="001646D1">
              <w:rPr>
                <w:sz w:val="20"/>
                <w:szCs w:val="20"/>
              </w:rPr>
              <w:t xml:space="preserve">ore of </w:t>
            </w:r>
            <w:r w:rsidRPr="001646D1">
              <w:rPr>
                <w:sz w:val="20"/>
                <w:szCs w:val="20"/>
              </w:rPr>
              <w:t>our</w:t>
            </w:r>
            <w:r w:rsidR="00317613" w:rsidRPr="001646D1">
              <w:rPr>
                <w:sz w:val="20"/>
                <w:szCs w:val="20"/>
              </w:rPr>
              <w:t xml:space="preserve"> disadvantaged pupils </w:t>
            </w:r>
            <w:r w:rsidRPr="001646D1">
              <w:rPr>
                <w:sz w:val="20"/>
                <w:szCs w:val="20"/>
              </w:rPr>
              <w:t xml:space="preserve">are </w:t>
            </w:r>
            <w:r w:rsidR="00317613" w:rsidRPr="001646D1">
              <w:rPr>
                <w:sz w:val="20"/>
                <w:szCs w:val="20"/>
              </w:rPr>
              <w:t>me</w:t>
            </w:r>
            <w:r w:rsidRPr="001646D1">
              <w:rPr>
                <w:sz w:val="20"/>
                <w:szCs w:val="20"/>
              </w:rPr>
              <w:t>e</w:t>
            </w:r>
            <w:r w:rsidR="00317613" w:rsidRPr="001646D1">
              <w:rPr>
                <w:sz w:val="20"/>
                <w:szCs w:val="20"/>
              </w:rPr>
              <w:t>t</w:t>
            </w:r>
            <w:r w:rsidRPr="001646D1">
              <w:rPr>
                <w:sz w:val="20"/>
                <w:szCs w:val="20"/>
              </w:rPr>
              <w:t>ing</w:t>
            </w:r>
            <w:r w:rsidR="00317613" w:rsidRPr="001646D1">
              <w:rPr>
                <w:sz w:val="20"/>
                <w:szCs w:val="20"/>
              </w:rPr>
              <w:t xml:space="preserve"> the Good Level of Development standard by the end of Reception,</w:t>
            </w:r>
            <w:r w:rsidRPr="001646D1">
              <w:rPr>
                <w:sz w:val="20"/>
                <w:szCs w:val="20"/>
              </w:rPr>
              <w:t xml:space="preserve"> </w:t>
            </w:r>
            <w:r w:rsidR="00317613" w:rsidRPr="001646D1">
              <w:rPr>
                <w:sz w:val="20"/>
                <w:szCs w:val="20"/>
              </w:rPr>
              <w:t xml:space="preserve">showing a positive impact of the </w:t>
            </w:r>
            <w:r w:rsidRPr="001646D1">
              <w:rPr>
                <w:sz w:val="20"/>
                <w:szCs w:val="20"/>
              </w:rPr>
              <w:t xml:space="preserve">early language </w:t>
            </w:r>
            <w:r w:rsidR="00317613" w:rsidRPr="001646D1">
              <w:rPr>
                <w:sz w:val="20"/>
                <w:szCs w:val="20"/>
              </w:rPr>
              <w:t>interventions</w:t>
            </w:r>
            <w:r w:rsidR="00D0017F" w:rsidRPr="001646D1">
              <w:rPr>
                <w:sz w:val="20"/>
                <w:szCs w:val="20"/>
              </w:rPr>
              <w:t xml:space="preserve"> in place</w:t>
            </w:r>
            <w:r w:rsidRPr="001646D1">
              <w:rPr>
                <w:sz w:val="20"/>
                <w:szCs w:val="20"/>
              </w:rPr>
              <w:t xml:space="preserve"> in EYFS</w:t>
            </w:r>
            <w:r>
              <w:t>.</w:t>
            </w:r>
          </w:p>
          <w:tbl>
            <w:tblPr>
              <w:tblStyle w:val="TableGrid"/>
              <w:tblW w:w="0" w:type="auto"/>
              <w:tblLook w:val="04A0" w:firstRow="1" w:lastRow="0" w:firstColumn="1" w:lastColumn="0" w:noHBand="0" w:noVBand="1"/>
            </w:tblPr>
            <w:tblGrid>
              <w:gridCol w:w="2018"/>
              <w:gridCol w:w="1665"/>
              <w:gridCol w:w="1666"/>
              <w:gridCol w:w="1665"/>
              <w:gridCol w:w="1666"/>
              <w:gridCol w:w="1666"/>
            </w:tblGrid>
            <w:tr w:rsidR="00AF75E4" w:rsidRPr="007A4A0A" w14:paraId="3F55C4C6" w14:textId="46AA5E03" w:rsidTr="00305CD9">
              <w:trPr>
                <w:trHeight w:val="317"/>
              </w:trPr>
              <w:tc>
                <w:tcPr>
                  <w:tcW w:w="2018" w:type="dxa"/>
                  <w:shd w:val="clear" w:color="auto" w:fill="C6D9F1" w:themeFill="text2" w:themeFillTint="33"/>
                </w:tcPr>
                <w:p w14:paraId="53DDFCC4" w14:textId="5FE45174" w:rsidR="00AF75E4" w:rsidRPr="007A4A0A" w:rsidRDefault="00AF75E4" w:rsidP="00317613">
                  <w:pPr>
                    <w:spacing w:before="120"/>
                    <w:rPr>
                      <w:b/>
                      <w:sz w:val="16"/>
                      <w:szCs w:val="16"/>
                      <w:lang w:eastAsia="en-US"/>
                    </w:rPr>
                  </w:pPr>
                  <w:r w:rsidRPr="007A4A0A">
                    <w:rPr>
                      <w:b/>
                      <w:sz w:val="16"/>
                      <w:szCs w:val="16"/>
                      <w:lang w:eastAsia="en-US"/>
                    </w:rPr>
                    <w:t>GLD</w:t>
                  </w:r>
                </w:p>
              </w:tc>
              <w:tc>
                <w:tcPr>
                  <w:tcW w:w="1665" w:type="dxa"/>
                  <w:shd w:val="clear" w:color="auto" w:fill="D9D9D9" w:themeFill="background1" w:themeFillShade="D9"/>
                </w:tcPr>
                <w:p w14:paraId="7F6B5A91" w14:textId="00A542AF" w:rsidR="00AF75E4" w:rsidRPr="007A4A0A" w:rsidRDefault="00AF75E4" w:rsidP="00317613">
                  <w:pPr>
                    <w:spacing w:before="120"/>
                    <w:rPr>
                      <w:b/>
                      <w:sz w:val="16"/>
                      <w:szCs w:val="16"/>
                      <w:lang w:eastAsia="en-US"/>
                    </w:rPr>
                  </w:pPr>
                  <w:r w:rsidRPr="007A4A0A">
                    <w:rPr>
                      <w:b/>
                      <w:sz w:val="16"/>
                      <w:szCs w:val="16"/>
                      <w:lang w:eastAsia="en-US"/>
                    </w:rPr>
                    <w:t>2019</w:t>
                  </w:r>
                </w:p>
              </w:tc>
              <w:tc>
                <w:tcPr>
                  <w:tcW w:w="1666" w:type="dxa"/>
                  <w:shd w:val="clear" w:color="auto" w:fill="D9D9D9" w:themeFill="background1" w:themeFillShade="D9"/>
                </w:tcPr>
                <w:p w14:paraId="547E7798" w14:textId="10836B06" w:rsidR="00AF75E4" w:rsidRPr="007A4A0A" w:rsidRDefault="00AF75E4" w:rsidP="00317613">
                  <w:pPr>
                    <w:spacing w:before="120"/>
                    <w:rPr>
                      <w:b/>
                      <w:sz w:val="16"/>
                      <w:szCs w:val="16"/>
                      <w:lang w:eastAsia="en-US"/>
                    </w:rPr>
                  </w:pPr>
                  <w:r w:rsidRPr="007A4A0A">
                    <w:rPr>
                      <w:b/>
                      <w:sz w:val="16"/>
                      <w:szCs w:val="16"/>
                      <w:lang w:eastAsia="en-US"/>
                    </w:rPr>
                    <w:t xml:space="preserve"> </w:t>
                  </w:r>
                </w:p>
              </w:tc>
              <w:tc>
                <w:tcPr>
                  <w:tcW w:w="1665" w:type="dxa"/>
                  <w:shd w:val="clear" w:color="auto" w:fill="D9D9D9" w:themeFill="background1" w:themeFillShade="D9"/>
                </w:tcPr>
                <w:p w14:paraId="12BED312" w14:textId="16E45983" w:rsidR="00AF75E4" w:rsidRPr="007A4A0A" w:rsidRDefault="00AF75E4" w:rsidP="00317613">
                  <w:pPr>
                    <w:spacing w:before="120"/>
                    <w:rPr>
                      <w:b/>
                      <w:sz w:val="16"/>
                      <w:szCs w:val="16"/>
                      <w:lang w:eastAsia="en-US"/>
                    </w:rPr>
                  </w:pPr>
                  <w:r w:rsidRPr="007A4A0A">
                    <w:rPr>
                      <w:b/>
                      <w:sz w:val="16"/>
                      <w:szCs w:val="16"/>
                      <w:lang w:eastAsia="en-US"/>
                    </w:rPr>
                    <w:t>2021</w:t>
                  </w:r>
                </w:p>
              </w:tc>
              <w:tc>
                <w:tcPr>
                  <w:tcW w:w="1666" w:type="dxa"/>
                  <w:shd w:val="clear" w:color="auto" w:fill="D9D9D9" w:themeFill="background1" w:themeFillShade="D9"/>
                </w:tcPr>
                <w:p w14:paraId="3DB40CA4" w14:textId="77833730" w:rsidR="00AF75E4" w:rsidRPr="007A4A0A" w:rsidRDefault="00AF75E4" w:rsidP="00317613">
                  <w:pPr>
                    <w:spacing w:before="120"/>
                    <w:rPr>
                      <w:b/>
                      <w:sz w:val="16"/>
                      <w:szCs w:val="16"/>
                      <w:lang w:eastAsia="en-US"/>
                    </w:rPr>
                  </w:pPr>
                  <w:r w:rsidRPr="007A4A0A">
                    <w:rPr>
                      <w:b/>
                      <w:sz w:val="16"/>
                      <w:szCs w:val="16"/>
                      <w:lang w:eastAsia="en-US"/>
                    </w:rPr>
                    <w:t>2022</w:t>
                  </w:r>
                </w:p>
              </w:tc>
              <w:tc>
                <w:tcPr>
                  <w:tcW w:w="1666" w:type="dxa"/>
                  <w:shd w:val="clear" w:color="auto" w:fill="D9D9D9" w:themeFill="background1" w:themeFillShade="D9"/>
                </w:tcPr>
                <w:p w14:paraId="10E5739B" w14:textId="453BE366" w:rsidR="00AF75E4" w:rsidRPr="007A4A0A" w:rsidRDefault="00AF75E4" w:rsidP="00317613">
                  <w:pPr>
                    <w:spacing w:before="120"/>
                    <w:rPr>
                      <w:b/>
                      <w:sz w:val="16"/>
                      <w:szCs w:val="16"/>
                      <w:lang w:eastAsia="en-US"/>
                    </w:rPr>
                  </w:pPr>
                  <w:r>
                    <w:rPr>
                      <w:b/>
                      <w:sz w:val="16"/>
                      <w:szCs w:val="16"/>
                      <w:lang w:eastAsia="en-US"/>
                    </w:rPr>
                    <w:t>2023</w:t>
                  </w:r>
                </w:p>
              </w:tc>
            </w:tr>
            <w:tr w:rsidR="00AF75E4" w:rsidRPr="007A4A0A" w14:paraId="2FD5D6F4" w14:textId="4D90C4F8" w:rsidTr="00305CD9">
              <w:trPr>
                <w:trHeight w:val="227"/>
              </w:trPr>
              <w:tc>
                <w:tcPr>
                  <w:tcW w:w="2018" w:type="dxa"/>
                  <w:shd w:val="clear" w:color="auto" w:fill="C6D9F1" w:themeFill="text2" w:themeFillTint="33"/>
                </w:tcPr>
                <w:p w14:paraId="586AA78F" w14:textId="1EBC92E6" w:rsidR="00AF75E4" w:rsidRPr="007A4A0A" w:rsidRDefault="00AF75E4" w:rsidP="00317613">
                  <w:pPr>
                    <w:spacing w:before="120"/>
                    <w:rPr>
                      <w:b/>
                      <w:sz w:val="16"/>
                      <w:szCs w:val="16"/>
                      <w:lang w:eastAsia="en-US"/>
                    </w:rPr>
                  </w:pPr>
                  <w:r w:rsidRPr="007A4A0A">
                    <w:rPr>
                      <w:b/>
                      <w:sz w:val="16"/>
                      <w:szCs w:val="16"/>
                      <w:lang w:eastAsia="en-US"/>
                    </w:rPr>
                    <w:t xml:space="preserve">Disadvantaged </w:t>
                  </w:r>
                </w:p>
              </w:tc>
              <w:tc>
                <w:tcPr>
                  <w:tcW w:w="1665" w:type="dxa"/>
                </w:tcPr>
                <w:p w14:paraId="52EB561E" w14:textId="2D5A58E3" w:rsidR="00AF75E4" w:rsidRPr="007A4A0A" w:rsidRDefault="00AF75E4" w:rsidP="00317613">
                  <w:pPr>
                    <w:spacing w:before="120"/>
                    <w:rPr>
                      <w:b/>
                      <w:sz w:val="16"/>
                      <w:szCs w:val="16"/>
                      <w:lang w:eastAsia="en-US"/>
                    </w:rPr>
                  </w:pPr>
                  <w:r w:rsidRPr="007A4A0A">
                    <w:rPr>
                      <w:b/>
                      <w:sz w:val="16"/>
                      <w:szCs w:val="16"/>
                      <w:lang w:eastAsia="en-US"/>
                    </w:rPr>
                    <w:t>50%</w:t>
                  </w:r>
                </w:p>
              </w:tc>
              <w:tc>
                <w:tcPr>
                  <w:tcW w:w="1666" w:type="dxa"/>
                  <w:shd w:val="clear" w:color="auto" w:fill="D9D9D9" w:themeFill="background1" w:themeFillShade="D9"/>
                </w:tcPr>
                <w:p w14:paraId="2953A32D" w14:textId="77777777" w:rsidR="00AF75E4" w:rsidRPr="007A4A0A" w:rsidRDefault="00AF75E4" w:rsidP="00317613">
                  <w:pPr>
                    <w:spacing w:before="120"/>
                    <w:rPr>
                      <w:b/>
                      <w:sz w:val="16"/>
                      <w:szCs w:val="16"/>
                      <w:lang w:eastAsia="en-US"/>
                    </w:rPr>
                  </w:pPr>
                </w:p>
              </w:tc>
              <w:tc>
                <w:tcPr>
                  <w:tcW w:w="1665" w:type="dxa"/>
                </w:tcPr>
                <w:p w14:paraId="08A7CCDE" w14:textId="0BCF10D7" w:rsidR="00AF75E4" w:rsidRPr="007A4A0A" w:rsidRDefault="00AF75E4" w:rsidP="00317613">
                  <w:pPr>
                    <w:spacing w:before="120"/>
                    <w:rPr>
                      <w:b/>
                      <w:sz w:val="16"/>
                      <w:szCs w:val="16"/>
                      <w:lang w:eastAsia="en-US"/>
                    </w:rPr>
                  </w:pPr>
                  <w:r w:rsidRPr="007A4A0A">
                    <w:rPr>
                      <w:b/>
                      <w:sz w:val="16"/>
                      <w:szCs w:val="16"/>
                      <w:lang w:eastAsia="en-US"/>
                    </w:rPr>
                    <w:t>30%</w:t>
                  </w:r>
                </w:p>
              </w:tc>
              <w:tc>
                <w:tcPr>
                  <w:tcW w:w="1666" w:type="dxa"/>
                </w:tcPr>
                <w:p w14:paraId="286B1A1F" w14:textId="5B9DF15C" w:rsidR="00AF75E4" w:rsidRPr="007A4A0A" w:rsidRDefault="00AF75E4" w:rsidP="00317613">
                  <w:pPr>
                    <w:spacing w:before="120"/>
                    <w:rPr>
                      <w:b/>
                      <w:sz w:val="16"/>
                      <w:szCs w:val="16"/>
                      <w:lang w:eastAsia="en-US"/>
                    </w:rPr>
                  </w:pPr>
                  <w:r w:rsidRPr="007A4A0A">
                    <w:rPr>
                      <w:b/>
                      <w:sz w:val="16"/>
                      <w:szCs w:val="16"/>
                      <w:lang w:eastAsia="en-US"/>
                    </w:rPr>
                    <w:t>60%</w:t>
                  </w:r>
                </w:p>
              </w:tc>
              <w:tc>
                <w:tcPr>
                  <w:tcW w:w="1666" w:type="dxa"/>
                </w:tcPr>
                <w:p w14:paraId="45E138C2" w14:textId="3C15CEA6" w:rsidR="00AF75E4" w:rsidRPr="007A4A0A" w:rsidRDefault="00E97FA5" w:rsidP="00317613">
                  <w:pPr>
                    <w:spacing w:before="120"/>
                    <w:rPr>
                      <w:b/>
                      <w:sz w:val="16"/>
                      <w:szCs w:val="16"/>
                      <w:lang w:eastAsia="en-US"/>
                    </w:rPr>
                  </w:pPr>
                  <w:r>
                    <w:rPr>
                      <w:b/>
                      <w:sz w:val="16"/>
                      <w:szCs w:val="16"/>
                      <w:lang w:eastAsia="en-US"/>
                    </w:rPr>
                    <w:t>57%</w:t>
                  </w:r>
                </w:p>
              </w:tc>
            </w:tr>
          </w:tbl>
          <w:p w14:paraId="66114C4A" w14:textId="77777777" w:rsidR="00D0017F" w:rsidRPr="001646D1" w:rsidRDefault="00D0017F" w:rsidP="00317613">
            <w:pPr>
              <w:spacing w:before="120"/>
              <w:rPr>
                <w:b/>
                <w:sz w:val="20"/>
                <w:szCs w:val="20"/>
                <w:lang w:eastAsia="en-US"/>
              </w:rPr>
            </w:pPr>
          </w:p>
          <w:p w14:paraId="09C3B7A1" w14:textId="0C0F304E" w:rsidR="00030D54" w:rsidRPr="001646D1" w:rsidRDefault="00D0017F" w:rsidP="00317613">
            <w:pPr>
              <w:spacing w:before="120"/>
              <w:rPr>
                <w:b/>
                <w:sz w:val="20"/>
                <w:szCs w:val="20"/>
                <w:lang w:eastAsia="en-US"/>
              </w:rPr>
            </w:pPr>
            <w:r w:rsidRPr="001646D1">
              <w:rPr>
                <w:b/>
                <w:sz w:val="20"/>
                <w:szCs w:val="20"/>
                <w:lang w:eastAsia="en-US"/>
              </w:rPr>
              <w:t xml:space="preserve">Year 1 Phonics </w:t>
            </w:r>
            <w:r w:rsidR="001646D1">
              <w:rPr>
                <w:b/>
                <w:sz w:val="20"/>
                <w:szCs w:val="20"/>
                <w:lang w:eastAsia="en-US"/>
              </w:rPr>
              <w:t xml:space="preserve">   </w:t>
            </w:r>
            <w:r w:rsidR="00E97FA5" w:rsidRPr="001646D1">
              <w:rPr>
                <w:sz w:val="20"/>
                <w:szCs w:val="20"/>
              </w:rPr>
              <w:t xml:space="preserve">By the end of Year 1, the majority of our disadvantaged pupils are confident in phonics and early reading, with all </w:t>
            </w:r>
            <w:r w:rsidR="001646D1" w:rsidRPr="001646D1">
              <w:rPr>
                <w:sz w:val="20"/>
                <w:szCs w:val="20"/>
              </w:rPr>
              <w:t xml:space="preserve">of them -100% of the disadvantaged group - </w:t>
            </w:r>
            <w:r w:rsidR="00E97FA5" w:rsidRPr="001646D1">
              <w:rPr>
                <w:sz w:val="20"/>
                <w:szCs w:val="20"/>
              </w:rPr>
              <w:t xml:space="preserve">meeting the phonics screen expectations by </w:t>
            </w:r>
            <w:r w:rsidR="001646D1" w:rsidRPr="001646D1">
              <w:rPr>
                <w:sz w:val="20"/>
                <w:szCs w:val="20"/>
              </w:rPr>
              <w:t xml:space="preserve">the end of </w:t>
            </w:r>
            <w:r w:rsidR="00E97FA5" w:rsidRPr="001646D1">
              <w:rPr>
                <w:sz w:val="20"/>
                <w:szCs w:val="20"/>
              </w:rPr>
              <w:t xml:space="preserve">Year 2 due to focused intervention and rapid catch up sessions. </w:t>
            </w:r>
          </w:p>
          <w:tbl>
            <w:tblPr>
              <w:tblStyle w:val="TableGrid"/>
              <w:tblW w:w="0" w:type="auto"/>
              <w:tblLook w:val="04A0" w:firstRow="1" w:lastRow="0" w:firstColumn="1" w:lastColumn="0" w:noHBand="0" w:noVBand="1"/>
            </w:tblPr>
            <w:tblGrid>
              <w:gridCol w:w="2018"/>
              <w:gridCol w:w="1665"/>
              <w:gridCol w:w="1666"/>
              <w:gridCol w:w="1665"/>
              <w:gridCol w:w="1666"/>
              <w:gridCol w:w="1666"/>
            </w:tblGrid>
            <w:tr w:rsidR="00E97FA5" w14:paraId="6283423C" w14:textId="1ABC774E" w:rsidTr="00F529F3">
              <w:trPr>
                <w:trHeight w:val="356"/>
              </w:trPr>
              <w:tc>
                <w:tcPr>
                  <w:tcW w:w="2018" w:type="dxa"/>
                  <w:shd w:val="clear" w:color="auto" w:fill="C6D9F1" w:themeFill="text2" w:themeFillTint="33"/>
                </w:tcPr>
                <w:p w14:paraId="0CECE6D4" w14:textId="0E352912" w:rsidR="00E97FA5" w:rsidRPr="007A4A0A" w:rsidRDefault="00E97FA5" w:rsidP="00D0017F">
                  <w:pPr>
                    <w:spacing w:before="120"/>
                    <w:rPr>
                      <w:b/>
                      <w:sz w:val="18"/>
                      <w:lang w:eastAsia="en-US"/>
                    </w:rPr>
                  </w:pPr>
                  <w:r w:rsidRPr="007A4A0A">
                    <w:rPr>
                      <w:b/>
                      <w:sz w:val="18"/>
                      <w:lang w:eastAsia="en-US"/>
                    </w:rPr>
                    <w:t xml:space="preserve">PHONICS </w:t>
                  </w:r>
                  <w:r>
                    <w:rPr>
                      <w:b/>
                      <w:sz w:val="18"/>
                      <w:lang w:eastAsia="en-US"/>
                    </w:rPr>
                    <w:t>Y1</w:t>
                  </w:r>
                </w:p>
              </w:tc>
              <w:tc>
                <w:tcPr>
                  <w:tcW w:w="1665" w:type="dxa"/>
                  <w:shd w:val="clear" w:color="auto" w:fill="D9D9D9" w:themeFill="background1" w:themeFillShade="D9"/>
                </w:tcPr>
                <w:p w14:paraId="3CFF3DC0" w14:textId="77777777" w:rsidR="00E97FA5" w:rsidRPr="007A4A0A" w:rsidRDefault="00E97FA5" w:rsidP="00D0017F">
                  <w:pPr>
                    <w:spacing w:before="120"/>
                    <w:rPr>
                      <w:b/>
                      <w:sz w:val="18"/>
                      <w:lang w:eastAsia="en-US"/>
                    </w:rPr>
                  </w:pPr>
                  <w:r w:rsidRPr="007A4A0A">
                    <w:rPr>
                      <w:b/>
                      <w:sz w:val="18"/>
                      <w:lang w:eastAsia="en-US"/>
                    </w:rPr>
                    <w:t>2019</w:t>
                  </w:r>
                </w:p>
              </w:tc>
              <w:tc>
                <w:tcPr>
                  <w:tcW w:w="1666" w:type="dxa"/>
                  <w:shd w:val="clear" w:color="auto" w:fill="D9D9D9" w:themeFill="background1" w:themeFillShade="D9"/>
                </w:tcPr>
                <w:p w14:paraId="26F0D5C7" w14:textId="77777777" w:rsidR="00E97FA5" w:rsidRPr="007A4A0A" w:rsidRDefault="00E97FA5" w:rsidP="00D0017F">
                  <w:pPr>
                    <w:spacing w:before="120"/>
                    <w:rPr>
                      <w:b/>
                      <w:sz w:val="18"/>
                      <w:lang w:eastAsia="en-US"/>
                    </w:rPr>
                  </w:pPr>
                  <w:r w:rsidRPr="007A4A0A">
                    <w:rPr>
                      <w:b/>
                      <w:sz w:val="18"/>
                      <w:lang w:eastAsia="en-US"/>
                    </w:rPr>
                    <w:t xml:space="preserve"> </w:t>
                  </w:r>
                </w:p>
              </w:tc>
              <w:tc>
                <w:tcPr>
                  <w:tcW w:w="1665" w:type="dxa"/>
                  <w:shd w:val="clear" w:color="auto" w:fill="D9D9D9" w:themeFill="background1" w:themeFillShade="D9"/>
                </w:tcPr>
                <w:p w14:paraId="004603C5" w14:textId="06E57E2C" w:rsidR="00E97FA5" w:rsidRPr="007A4A0A" w:rsidRDefault="00E97FA5" w:rsidP="00D0017F">
                  <w:pPr>
                    <w:spacing w:before="120"/>
                    <w:rPr>
                      <w:b/>
                      <w:sz w:val="18"/>
                      <w:lang w:eastAsia="en-US"/>
                    </w:rPr>
                  </w:pPr>
                  <w:r w:rsidRPr="007A4A0A">
                    <w:rPr>
                      <w:b/>
                      <w:sz w:val="18"/>
                      <w:lang w:eastAsia="en-US"/>
                    </w:rPr>
                    <w:t>2020</w:t>
                  </w:r>
                </w:p>
              </w:tc>
              <w:tc>
                <w:tcPr>
                  <w:tcW w:w="1666" w:type="dxa"/>
                  <w:shd w:val="clear" w:color="auto" w:fill="D9D9D9" w:themeFill="background1" w:themeFillShade="D9"/>
                </w:tcPr>
                <w:p w14:paraId="190B5331" w14:textId="77777777" w:rsidR="00E97FA5" w:rsidRPr="007A4A0A" w:rsidRDefault="00E97FA5" w:rsidP="00D0017F">
                  <w:pPr>
                    <w:spacing w:before="120"/>
                    <w:rPr>
                      <w:b/>
                      <w:sz w:val="18"/>
                      <w:lang w:eastAsia="en-US"/>
                    </w:rPr>
                  </w:pPr>
                  <w:r w:rsidRPr="007A4A0A">
                    <w:rPr>
                      <w:b/>
                      <w:sz w:val="18"/>
                      <w:lang w:eastAsia="en-US"/>
                    </w:rPr>
                    <w:t>2022</w:t>
                  </w:r>
                </w:p>
              </w:tc>
              <w:tc>
                <w:tcPr>
                  <w:tcW w:w="1666" w:type="dxa"/>
                  <w:shd w:val="clear" w:color="auto" w:fill="D9D9D9" w:themeFill="background1" w:themeFillShade="D9"/>
                </w:tcPr>
                <w:p w14:paraId="4B39A64E" w14:textId="7FA34FAF" w:rsidR="00E97FA5" w:rsidRPr="007A4A0A" w:rsidRDefault="00E97FA5" w:rsidP="00D0017F">
                  <w:pPr>
                    <w:spacing w:before="120"/>
                    <w:rPr>
                      <w:b/>
                      <w:sz w:val="18"/>
                      <w:lang w:eastAsia="en-US"/>
                    </w:rPr>
                  </w:pPr>
                  <w:r>
                    <w:rPr>
                      <w:b/>
                      <w:sz w:val="18"/>
                      <w:lang w:eastAsia="en-US"/>
                    </w:rPr>
                    <w:t>2023</w:t>
                  </w:r>
                </w:p>
              </w:tc>
            </w:tr>
            <w:tr w:rsidR="00E97FA5" w14:paraId="64A69531" w14:textId="7DADD64C" w:rsidTr="00F529F3">
              <w:tc>
                <w:tcPr>
                  <w:tcW w:w="2018" w:type="dxa"/>
                  <w:shd w:val="clear" w:color="auto" w:fill="C6D9F1" w:themeFill="text2" w:themeFillTint="33"/>
                </w:tcPr>
                <w:p w14:paraId="6090F249" w14:textId="77777777" w:rsidR="00E97FA5" w:rsidRPr="007A4A0A" w:rsidRDefault="00E97FA5" w:rsidP="00D0017F">
                  <w:pPr>
                    <w:spacing w:before="120"/>
                    <w:rPr>
                      <w:b/>
                      <w:sz w:val="18"/>
                      <w:lang w:eastAsia="en-US"/>
                    </w:rPr>
                  </w:pPr>
                  <w:r w:rsidRPr="007A4A0A">
                    <w:rPr>
                      <w:b/>
                      <w:sz w:val="18"/>
                      <w:lang w:eastAsia="en-US"/>
                    </w:rPr>
                    <w:t xml:space="preserve">Disadvantaged </w:t>
                  </w:r>
                </w:p>
              </w:tc>
              <w:tc>
                <w:tcPr>
                  <w:tcW w:w="1665" w:type="dxa"/>
                </w:tcPr>
                <w:p w14:paraId="5E46F2AD" w14:textId="43ACAFE4" w:rsidR="00E97FA5" w:rsidRPr="007A4A0A" w:rsidRDefault="00E97FA5" w:rsidP="00D0017F">
                  <w:pPr>
                    <w:spacing w:before="120"/>
                    <w:rPr>
                      <w:b/>
                      <w:sz w:val="18"/>
                      <w:lang w:eastAsia="en-US"/>
                    </w:rPr>
                  </w:pPr>
                  <w:r w:rsidRPr="007A4A0A">
                    <w:rPr>
                      <w:b/>
                      <w:sz w:val="18"/>
                      <w:lang w:eastAsia="en-US"/>
                    </w:rPr>
                    <w:t>78%</w:t>
                  </w:r>
                </w:p>
              </w:tc>
              <w:tc>
                <w:tcPr>
                  <w:tcW w:w="1666" w:type="dxa"/>
                  <w:shd w:val="clear" w:color="auto" w:fill="D9D9D9" w:themeFill="background1" w:themeFillShade="D9"/>
                </w:tcPr>
                <w:p w14:paraId="62D8CA9C" w14:textId="77777777" w:rsidR="00E97FA5" w:rsidRPr="007A4A0A" w:rsidRDefault="00E97FA5" w:rsidP="00D0017F">
                  <w:pPr>
                    <w:spacing w:before="120"/>
                    <w:rPr>
                      <w:b/>
                      <w:sz w:val="18"/>
                      <w:lang w:eastAsia="en-US"/>
                    </w:rPr>
                  </w:pPr>
                </w:p>
              </w:tc>
              <w:tc>
                <w:tcPr>
                  <w:tcW w:w="1665" w:type="dxa"/>
                </w:tcPr>
                <w:p w14:paraId="31E1B4DD" w14:textId="524CE8D3" w:rsidR="00E97FA5" w:rsidRPr="007A4A0A" w:rsidRDefault="00E97FA5" w:rsidP="00D0017F">
                  <w:pPr>
                    <w:spacing w:before="120"/>
                    <w:rPr>
                      <w:b/>
                      <w:sz w:val="18"/>
                      <w:lang w:eastAsia="en-US"/>
                    </w:rPr>
                  </w:pPr>
                  <w:r w:rsidRPr="007A4A0A">
                    <w:rPr>
                      <w:b/>
                      <w:sz w:val="18"/>
                      <w:lang w:eastAsia="en-US"/>
                    </w:rPr>
                    <w:t>33%</w:t>
                  </w:r>
                </w:p>
              </w:tc>
              <w:tc>
                <w:tcPr>
                  <w:tcW w:w="1666" w:type="dxa"/>
                </w:tcPr>
                <w:p w14:paraId="3AE4553B" w14:textId="6BAE0492" w:rsidR="00E97FA5" w:rsidRPr="007A4A0A" w:rsidRDefault="00E97FA5" w:rsidP="00D0017F">
                  <w:pPr>
                    <w:spacing w:before="120"/>
                    <w:rPr>
                      <w:b/>
                      <w:sz w:val="18"/>
                      <w:lang w:eastAsia="en-US"/>
                    </w:rPr>
                  </w:pPr>
                  <w:r w:rsidRPr="007A4A0A">
                    <w:rPr>
                      <w:b/>
                      <w:sz w:val="18"/>
                      <w:lang w:eastAsia="en-US"/>
                    </w:rPr>
                    <w:t>85%</w:t>
                  </w:r>
                </w:p>
              </w:tc>
              <w:tc>
                <w:tcPr>
                  <w:tcW w:w="1666" w:type="dxa"/>
                </w:tcPr>
                <w:p w14:paraId="11032B41" w14:textId="3D37E544" w:rsidR="00E97FA5" w:rsidRPr="007A4A0A" w:rsidRDefault="00E97FA5" w:rsidP="00D0017F">
                  <w:pPr>
                    <w:spacing w:before="120"/>
                    <w:rPr>
                      <w:b/>
                      <w:sz w:val="18"/>
                      <w:lang w:eastAsia="en-US"/>
                    </w:rPr>
                  </w:pPr>
                  <w:r>
                    <w:rPr>
                      <w:b/>
                      <w:sz w:val="18"/>
                      <w:lang w:eastAsia="en-US"/>
                    </w:rPr>
                    <w:t>88%</w:t>
                  </w:r>
                </w:p>
              </w:tc>
            </w:tr>
          </w:tbl>
          <w:p w14:paraId="12D8C34E" w14:textId="77777777" w:rsidR="00AF75E4" w:rsidRPr="001646D1" w:rsidRDefault="00AF75E4" w:rsidP="00317613">
            <w:pPr>
              <w:spacing w:before="120"/>
              <w:rPr>
                <w:b/>
                <w:sz w:val="20"/>
                <w:szCs w:val="20"/>
                <w:lang w:eastAsia="en-US"/>
              </w:rPr>
            </w:pPr>
          </w:p>
          <w:p w14:paraId="7D911F41" w14:textId="521E0DA0" w:rsidR="001646D1" w:rsidRPr="001646D1" w:rsidRDefault="001646D1" w:rsidP="00317613">
            <w:pPr>
              <w:spacing w:before="120"/>
              <w:rPr>
                <w:b/>
                <w:sz w:val="20"/>
                <w:szCs w:val="20"/>
                <w:lang w:eastAsia="en-US"/>
              </w:rPr>
            </w:pPr>
            <w:r w:rsidRPr="001646D1">
              <w:rPr>
                <w:b/>
                <w:sz w:val="20"/>
                <w:szCs w:val="20"/>
                <w:lang w:eastAsia="en-US"/>
              </w:rPr>
              <w:t xml:space="preserve">Key Stage 1 </w:t>
            </w:r>
            <w:r>
              <w:rPr>
                <w:b/>
                <w:sz w:val="20"/>
                <w:szCs w:val="20"/>
                <w:lang w:eastAsia="en-US"/>
              </w:rPr>
              <w:t xml:space="preserve">   </w:t>
            </w:r>
            <w:r w:rsidRPr="001646D1">
              <w:rPr>
                <w:sz w:val="20"/>
                <w:szCs w:val="20"/>
                <w:lang w:eastAsia="en-US"/>
              </w:rPr>
              <w:t>Mastery approach to teaching maths, along with focused teaching o</w:t>
            </w:r>
            <w:r w:rsidR="007173C7">
              <w:rPr>
                <w:sz w:val="20"/>
                <w:szCs w:val="20"/>
                <w:lang w:eastAsia="en-US"/>
              </w:rPr>
              <w:t>f phonics and</w:t>
            </w:r>
            <w:r w:rsidRPr="001646D1">
              <w:rPr>
                <w:sz w:val="20"/>
                <w:szCs w:val="20"/>
                <w:lang w:eastAsia="en-US"/>
              </w:rPr>
              <w:t xml:space="preserve"> early reading </w:t>
            </w:r>
            <w:r w:rsidR="007173C7">
              <w:rPr>
                <w:sz w:val="20"/>
                <w:szCs w:val="20"/>
                <w:lang w:eastAsia="en-US"/>
              </w:rPr>
              <w:t xml:space="preserve">has </w:t>
            </w:r>
            <w:r w:rsidRPr="001646D1">
              <w:rPr>
                <w:sz w:val="20"/>
                <w:szCs w:val="20"/>
                <w:lang w:eastAsia="en-US"/>
              </w:rPr>
              <w:t>ensure</w:t>
            </w:r>
            <w:r w:rsidR="007173C7">
              <w:rPr>
                <w:sz w:val="20"/>
                <w:szCs w:val="20"/>
                <w:lang w:eastAsia="en-US"/>
              </w:rPr>
              <w:t>d</w:t>
            </w:r>
            <w:r w:rsidRPr="001646D1">
              <w:rPr>
                <w:sz w:val="20"/>
                <w:szCs w:val="20"/>
                <w:lang w:eastAsia="en-US"/>
              </w:rPr>
              <w:t xml:space="preserve"> many of our disadvantaged pupils end Year 2 at ARE.</w:t>
            </w:r>
            <w:r w:rsidR="007173C7">
              <w:rPr>
                <w:sz w:val="20"/>
                <w:szCs w:val="20"/>
                <w:lang w:eastAsia="en-US"/>
              </w:rPr>
              <w:t xml:space="preserve"> </w:t>
            </w:r>
          </w:p>
          <w:tbl>
            <w:tblPr>
              <w:tblStyle w:val="TableGrid"/>
              <w:tblW w:w="0" w:type="auto"/>
              <w:tblLook w:val="04A0" w:firstRow="1" w:lastRow="0" w:firstColumn="1" w:lastColumn="0" w:noHBand="0" w:noVBand="1"/>
            </w:tblPr>
            <w:tblGrid>
              <w:gridCol w:w="2018"/>
              <w:gridCol w:w="1665"/>
              <w:gridCol w:w="1666"/>
              <w:gridCol w:w="1665"/>
            </w:tblGrid>
            <w:tr w:rsidR="001646D1" w:rsidRPr="007A4A0A" w14:paraId="57337647" w14:textId="77777777" w:rsidTr="001646D1">
              <w:trPr>
                <w:trHeight w:val="356"/>
              </w:trPr>
              <w:tc>
                <w:tcPr>
                  <w:tcW w:w="2018" w:type="dxa"/>
                  <w:shd w:val="clear" w:color="auto" w:fill="C6D9F1" w:themeFill="text2" w:themeFillTint="33"/>
                </w:tcPr>
                <w:p w14:paraId="13C70C08" w14:textId="77777777" w:rsidR="001646D1" w:rsidRDefault="001646D1" w:rsidP="001646D1">
                  <w:pPr>
                    <w:spacing w:before="120"/>
                    <w:rPr>
                      <w:b/>
                      <w:sz w:val="18"/>
                      <w:lang w:eastAsia="en-US"/>
                    </w:rPr>
                  </w:pPr>
                </w:p>
              </w:tc>
              <w:tc>
                <w:tcPr>
                  <w:tcW w:w="1665" w:type="dxa"/>
                  <w:shd w:val="clear" w:color="auto" w:fill="FFFFFF" w:themeFill="background1"/>
                </w:tcPr>
                <w:p w14:paraId="56253C03" w14:textId="103E6BD3" w:rsidR="001646D1" w:rsidRPr="007A4A0A" w:rsidRDefault="001646D1" w:rsidP="001646D1">
                  <w:pPr>
                    <w:spacing w:before="120"/>
                    <w:rPr>
                      <w:b/>
                      <w:sz w:val="18"/>
                      <w:lang w:eastAsia="en-US"/>
                    </w:rPr>
                  </w:pPr>
                  <w:r>
                    <w:rPr>
                      <w:b/>
                      <w:sz w:val="18"/>
                      <w:lang w:eastAsia="en-US"/>
                    </w:rPr>
                    <w:t>National</w:t>
                  </w:r>
                </w:p>
              </w:tc>
              <w:tc>
                <w:tcPr>
                  <w:tcW w:w="1666" w:type="dxa"/>
                  <w:shd w:val="clear" w:color="auto" w:fill="D9D9D9" w:themeFill="background1" w:themeFillShade="D9"/>
                </w:tcPr>
                <w:p w14:paraId="6D7C2643" w14:textId="2AD8DFF4" w:rsidR="001646D1" w:rsidRPr="007A4A0A" w:rsidRDefault="001646D1" w:rsidP="001646D1">
                  <w:pPr>
                    <w:spacing w:before="120"/>
                    <w:rPr>
                      <w:b/>
                      <w:sz w:val="18"/>
                      <w:lang w:eastAsia="en-US"/>
                    </w:rPr>
                  </w:pPr>
                  <w:r>
                    <w:rPr>
                      <w:b/>
                      <w:sz w:val="18"/>
                      <w:lang w:eastAsia="en-US"/>
                    </w:rPr>
                    <w:t>All pupils</w:t>
                  </w:r>
                </w:p>
              </w:tc>
              <w:tc>
                <w:tcPr>
                  <w:tcW w:w="1665" w:type="dxa"/>
                  <w:shd w:val="clear" w:color="auto" w:fill="FFFFFF" w:themeFill="background1"/>
                </w:tcPr>
                <w:p w14:paraId="4ED4DD1D" w14:textId="0B9359E0" w:rsidR="001646D1" w:rsidRPr="007A4A0A" w:rsidRDefault="001646D1" w:rsidP="001646D1">
                  <w:pPr>
                    <w:spacing w:before="120"/>
                    <w:rPr>
                      <w:b/>
                      <w:sz w:val="18"/>
                      <w:lang w:eastAsia="en-US"/>
                    </w:rPr>
                  </w:pPr>
                  <w:r>
                    <w:rPr>
                      <w:b/>
                      <w:sz w:val="18"/>
                      <w:lang w:eastAsia="en-US"/>
                    </w:rPr>
                    <w:t>Disadvantaged</w:t>
                  </w:r>
                </w:p>
              </w:tc>
            </w:tr>
            <w:tr w:rsidR="001646D1" w:rsidRPr="007A4A0A" w14:paraId="221D2268" w14:textId="77777777" w:rsidTr="001646D1">
              <w:trPr>
                <w:trHeight w:val="356"/>
              </w:trPr>
              <w:tc>
                <w:tcPr>
                  <w:tcW w:w="2018" w:type="dxa"/>
                  <w:shd w:val="clear" w:color="auto" w:fill="C6D9F1" w:themeFill="text2" w:themeFillTint="33"/>
                </w:tcPr>
                <w:p w14:paraId="3353B79C" w14:textId="29C635AB" w:rsidR="001646D1" w:rsidRPr="007A4A0A" w:rsidRDefault="001646D1" w:rsidP="001646D1">
                  <w:pPr>
                    <w:spacing w:before="120"/>
                    <w:rPr>
                      <w:b/>
                      <w:sz w:val="18"/>
                      <w:lang w:eastAsia="en-US"/>
                    </w:rPr>
                  </w:pPr>
                  <w:r>
                    <w:rPr>
                      <w:b/>
                      <w:sz w:val="18"/>
                      <w:lang w:eastAsia="en-US"/>
                    </w:rPr>
                    <w:t>Combined</w:t>
                  </w:r>
                </w:p>
              </w:tc>
              <w:tc>
                <w:tcPr>
                  <w:tcW w:w="1665" w:type="dxa"/>
                  <w:shd w:val="clear" w:color="auto" w:fill="FFFFFF" w:themeFill="background1"/>
                </w:tcPr>
                <w:p w14:paraId="2DB79F09" w14:textId="0A7BC2DC" w:rsidR="001646D1" w:rsidRPr="007A4A0A" w:rsidRDefault="001646D1" w:rsidP="001646D1">
                  <w:pPr>
                    <w:spacing w:before="120"/>
                    <w:rPr>
                      <w:b/>
                      <w:sz w:val="18"/>
                      <w:lang w:eastAsia="en-US"/>
                    </w:rPr>
                  </w:pPr>
                </w:p>
              </w:tc>
              <w:tc>
                <w:tcPr>
                  <w:tcW w:w="1666" w:type="dxa"/>
                  <w:shd w:val="clear" w:color="auto" w:fill="D9D9D9" w:themeFill="background1" w:themeFillShade="D9"/>
                </w:tcPr>
                <w:p w14:paraId="785CDB0E" w14:textId="16F81370" w:rsidR="001646D1" w:rsidRPr="007A4A0A" w:rsidRDefault="001646D1" w:rsidP="001646D1">
                  <w:pPr>
                    <w:spacing w:before="120"/>
                    <w:rPr>
                      <w:b/>
                      <w:sz w:val="18"/>
                      <w:lang w:eastAsia="en-US"/>
                    </w:rPr>
                  </w:pPr>
                  <w:r>
                    <w:rPr>
                      <w:b/>
                      <w:sz w:val="18"/>
                      <w:lang w:eastAsia="en-US"/>
                    </w:rPr>
                    <w:t>53%</w:t>
                  </w:r>
                </w:p>
              </w:tc>
              <w:tc>
                <w:tcPr>
                  <w:tcW w:w="1665" w:type="dxa"/>
                  <w:shd w:val="clear" w:color="auto" w:fill="FFFFFF" w:themeFill="background1"/>
                </w:tcPr>
                <w:p w14:paraId="1D4CB088" w14:textId="0155A055" w:rsidR="001646D1" w:rsidRPr="007A4A0A" w:rsidRDefault="001646D1" w:rsidP="001646D1">
                  <w:pPr>
                    <w:spacing w:before="120"/>
                    <w:rPr>
                      <w:b/>
                      <w:sz w:val="18"/>
                      <w:lang w:eastAsia="en-US"/>
                    </w:rPr>
                  </w:pPr>
                  <w:r>
                    <w:rPr>
                      <w:b/>
                      <w:sz w:val="18"/>
                      <w:lang w:eastAsia="en-US"/>
                    </w:rPr>
                    <w:t>35%</w:t>
                  </w:r>
                </w:p>
              </w:tc>
            </w:tr>
            <w:tr w:rsidR="001646D1" w:rsidRPr="007A4A0A" w14:paraId="62CE6B5E" w14:textId="77777777" w:rsidTr="001646D1">
              <w:tc>
                <w:tcPr>
                  <w:tcW w:w="2018" w:type="dxa"/>
                  <w:shd w:val="clear" w:color="auto" w:fill="C6D9F1" w:themeFill="text2" w:themeFillTint="33"/>
                </w:tcPr>
                <w:p w14:paraId="52BDB0D1" w14:textId="7F69A40C" w:rsidR="001646D1" w:rsidRPr="007A4A0A" w:rsidRDefault="001646D1" w:rsidP="001646D1">
                  <w:pPr>
                    <w:spacing w:before="120"/>
                    <w:rPr>
                      <w:b/>
                      <w:sz w:val="18"/>
                      <w:lang w:eastAsia="en-US"/>
                    </w:rPr>
                  </w:pPr>
                  <w:r>
                    <w:rPr>
                      <w:b/>
                      <w:sz w:val="18"/>
                      <w:lang w:eastAsia="en-US"/>
                    </w:rPr>
                    <w:t>Reading</w:t>
                  </w:r>
                </w:p>
              </w:tc>
              <w:tc>
                <w:tcPr>
                  <w:tcW w:w="1665" w:type="dxa"/>
                  <w:shd w:val="clear" w:color="auto" w:fill="FFFFFF" w:themeFill="background1"/>
                </w:tcPr>
                <w:p w14:paraId="5235353D" w14:textId="49D39EC8" w:rsidR="001646D1" w:rsidRPr="007A4A0A" w:rsidRDefault="001646D1" w:rsidP="001646D1">
                  <w:pPr>
                    <w:spacing w:before="120"/>
                    <w:rPr>
                      <w:b/>
                      <w:sz w:val="18"/>
                      <w:lang w:eastAsia="en-US"/>
                    </w:rPr>
                  </w:pPr>
                  <w:r>
                    <w:rPr>
                      <w:b/>
                      <w:sz w:val="18"/>
                      <w:lang w:eastAsia="en-US"/>
                    </w:rPr>
                    <w:t>69%</w:t>
                  </w:r>
                </w:p>
              </w:tc>
              <w:tc>
                <w:tcPr>
                  <w:tcW w:w="1666" w:type="dxa"/>
                  <w:shd w:val="clear" w:color="auto" w:fill="D9D9D9" w:themeFill="background1" w:themeFillShade="D9"/>
                </w:tcPr>
                <w:p w14:paraId="5E4853E7" w14:textId="671D5A05" w:rsidR="001646D1" w:rsidRPr="007A4A0A" w:rsidRDefault="001646D1" w:rsidP="001646D1">
                  <w:pPr>
                    <w:spacing w:before="120"/>
                    <w:rPr>
                      <w:b/>
                      <w:sz w:val="18"/>
                      <w:lang w:eastAsia="en-US"/>
                    </w:rPr>
                  </w:pPr>
                  <w:r>
                    <w:rPr>
                      <w:b/>
                      <w:sz w:val="18"/>
                      <w:lang w:eastAsia="en-US"/>
                    </w:rPr>
                    <w:t>76%</w:t>
                  </w:r>
                </w:p>
              </w:tc>
              <w:tc>
                <w:tcPr>
                  <w:tcW w:w="1665" w:type="dxa"/>
                  <w:shd w:val="clear" w:color="auto" w:fill="FFFFFF" w:themeFill="background1"/>
                </w:tcPr>
                <w:p w14:paraId="17C7B098" w14:textId="1C567D15" w:rsidR="001646D1" w:rsidRPr="007A4A0A" w:rsidRDefault="001646D1" w:rsidP="001646D1">
                  <w:pPr>
                    <w:spacing w:before="120"/>
                    <w:rPr>
                      <w:b/>
                      <w:sz w:val="18"/>
                      <w:lang w:eastAsia="en-US"/>
                    </w:rPr>
                  </w:pPr>
                  <w:r>
                    <w:rPr>
                      <w:b/>
                      <w:sz w:val="18"/>
                      <w:lang w:eastAsia="en-US"/>
                    </w:rPr>
                    <w:t>76%</w:t>
                  </w:r>
                </w:p>
              </w:tc>
            </w:tr>
            <w:tr w:rsidR="001646D1" w:rsidRPr="007A4A0A" w14:paraId="5F8EB47B" w14:textId="77777777" w:rsidTr="001646D1">
              <w:tc>
                <w:tcPr>
                  <w:tcW w:w="2018" w:type="dxa"/>
                  <w:shd w:val="clear" w:color="auto" w:fill="C6D9F1" w:themeFill="text2" w:themeFillTint="33"/>
                </w:tcPr>
                <w:p w14:paraId="1471C26A" w14:textId="4711C8A9" w:rsidR="001646D1" w:rsidRPr="007A4A0A" w:rsidRDefault="001646D1" w:rsidP="001646D1">
                  <w:pPr>
                    <w:spacing w:before="120"/>
                    <w:rPr>
                      <w:b/>
                      <w:sz w:val="18"/>
                      <w:lang w:eastAsia="en-US"/>
                    </w:rPr>
                  </w:pPr>
                  <w:r>
                    <w:rPr>
                      <w:b/>
                      <w:sz w:val="18"/>
                      <w:lang w:eastAsia="en-US"/>
                    </w:rPr>
                    <w:t>Writing</w:t>
                  </w:r>
                </w:p>
              </w:tc>
              <w:tc>
                <w:tcPr>
                  <w:tcW w:w="1665" w:type="dxa"/>
                  <w:shd w:val="clear" w:color="auto" w:fill="FFFFFF" w:themeFill="background1"/>
                </w:tcPr>
                <w:p w14:paraId="6B3C0770" w14:textId="7CFF57A6" w:rsidR="001646D1" w:rsidRPr="007A4A0A" w:rsidRDefault="001646D1" w:rsidP="001646D1">
                  <w:pPr>
                    <w:spacing w:before="120"/>
                    <w:rPr>
                      <w:b/>
                      <w:sz w:val="18"/>
                      <w:lang w:eastAsia="en-US"/>
                    </w:rPr>
                  </w:pPr>
                  <w:r>
                    <w:rPr>
                      <w:b/>
                      <w:sz w:val="18"/>
                      <w:lang w:eastAsia="en-US"/>
                    </w:rPr>
                    <w:t>61%</w:t>
                  </w:r>
                </w:p>
              </w:tc>
              <w:tc>
                <w:tcPr>
                  <w:tcW w:w="1666" w:type="dxa"/>
                  <w:shd w:val="clear" w:color="auto" w:fill="D9D9D9" w:themeFill="background1" w:themeFillShade="D9"/>
                </w:tcPr>
                <w:p w14:paraId="78F656F5" w14:textId="56A727E4" w:rsidR="001646D1" w:rsidRPr="007A4A0A" w:rsidRDefault="001646D1" w:rsidP="001646D1">
                  <w:pPr>
                    <w:spacing w:before="120"/>
                    <w:rPr>
                      <w:b/>
                      <w:sz w:val="18"/>
                      <w:lang w:eastAsia="en-US"/>
                    </w:rPr>
                  </w:pPr>
                  <w:r>
                    <w:rPr>
                      <w:b/>
                      <w:sz w:val="18"/>
                      <w:lang w:eastAsia="en-US"/>
                    </w:rPr>
                    <w:t>57%</w:t>
                  </w:r>
                </w:p>
              </w:tc>
              <w:tc>
                <w:tcPr>
                  <w:tcW w:w="1665" w:type="dxa"/>
                  <w:shd w:val="clear" w:color="auto" w:fill="FFFFFF" w:themeFill="background1"/>
                </w:tcPr>
                <w:p w14:paraId="1D72FE33" w14:textId="43B96B37" w:rsidR="001646D1" w:rsidRPr="007A4A0A" w:rsidRDefault="001646D1" w:rsidP="001646D1">
                  <w:pPr>
                    <w:spacing w:before="120"/>
                    <w:rPr>
                      <w:b/>
                      <w:sz w:val="18"/>
                      <w:lang w:eastAsia="en-US"/>
                    </w:rPr>
                  </w:pPr>
                  <w:r>
                    <w:rPr>
                      <w:b/>
                      <w:sz w:val="18"/>
                      <w:lang w:eastAsia="en-US"/>
                    </w:rPr>
                    <w:t>41%</w:t>
                  </w:r>
                </w:p>
              </w:tc>
            </w:tr>
            <w:tr w:rsidR="001646D1" w:rsidRPr="007A4A0A" w14:paraId="0FA92C14" w14:textId="77777777" w:rsidTr="001646D1">
              <w:tc>
                <w:tcPr>
                  <w:tcW w:w="2018" w:type="dxa"/>
                  <w:shd w:val="clear" w:color="auto" w:fill="C6D9F1" w:themeFill="text2" w:themeFillTint="33"/>
                </w:tcPr>
                <w:p w14:paraId="00AEB73E" w14:textId="12C14216" w:rsidR="001646D1" w:rsidRPr="007A4A0A" w:rsidRDefault="001646D1" w:rsidP="001646D1">
                  <w:pPr>
                    <w:spacing w:before="120"/>
                    <w:rPr>
                      <w:b/>
                      <w:sz w:val="18"/>
                      <w:lang w:eastAsia="en-US"/>
                    </w:rPr>
                  </w:pPr>
                  <w:r>
                    <w:rPr>
                      <w:b/>
                      <w:sz w:val="18"/>
                      <w:lang w:eastAsia="en-US"/>
                    </w:rPr>
                    <w:t>Maths</w:t>
                  </w:r>
                </w:p>
              </w:tc>
              <w:tc>
                <w:tcPr>
                  <w:tcW w:w="1665" w:type="dxa"/>
                  <w:shd w:val="clear" w:color="auto" w:fill="FFFFFF" w:themeFill="background1"/>
                </w:tcPr>
                <w:p w14:paraId="49B86FDC" w14:textId="54B01681" w:rsidR="001646D1" w:rsidRPr="007A4A0A" w:rsidRDefault="001646D1" w:rsidP="001646D1">
                  <w:pPr>
                    <w:spacing w:before="120"/>
                    <w:rPr>
                      <w:b/>
                      <w:sz w:val="18"/>
                      <w:lang w:eastAsia="en-US"/>
                    </w:rPr>
                  </w:pPr>
                  <w:r>
                    <w:rPr>
                      <w:b/>
                      <w:sz w:val="18"/>
                      <w:lang w:eastAsia="en-US"/>
                    </w:rPr>
                    <w:t>72%</w:t>
                  </w:r>
                </w:p>
              </w:tc>
              <w:tc>
                <w:tcPr>
                  <w:tcW w:w="1666" w:type="dxa"/>
                  <w:shd w:val="clear" w:color="auto" w:fill="D9D9D9" w:themeFill="background1" w:themeFillShade="D9"/>
                </w:tcPr>
                <w:p w14:paraId="43A81673" w14:textId="09EED890" w:rsidR="001646D1" w:rsidRPr="007A4A0A" w:rsidRDefault="001646D1" w:rsidP="001646D1">
                  <w:pPr>
                    <w:spacing w:before="120"/>
                    <w:rPr>
                      <w:b/>
                      <w:sz w:val="18"/>
                      <w:lang w:eastAsia="en-US"/>
                    </w:rPr>
                  </w:pPr>
                  <w:r>
                    <w:rPr>
                      <w:b/>
                      <w:sz w:val="18"/>
                      <w:lang w:eastAsia="en-US"/>
                    </w:rPr>
                    <w:t>78%</w:t>
                  </w:r>
                </w:p>
              </w:tc>
              <w:tc>
                <w:tcPr>
                  <w:tcW w:w="1665" w:type="dxa"/>
                </w:tcPr>
                <w:p w14:paraId="227222AE" w14:textId="439E6D69" w:rsidR="001646D1" w:rsidRPr="007A4A0A" w:rsidRDefault="001646D1" w:rsidP="001646D1">
                  <w:pPr>
                    <w:spacing w:before="120"/>
                    <w:rPr>
                      <w:b/>
                      <w:sz w:val="18"/>
                      <w:lang w:eastAsia="en-US"/>
                    </w:rPr>
                  </w:pPr>
                  <w:r>
                    <w:rPr>
                      <w:b/>
                      <w:sz w:val="18"/>
                      <w:lang w:eastAsia="en-US"/>
                    </w:rPr>
                    <w:t>71%</w:t>
                  </w:r>
                </w:p>
              </w:tc>
            </w:tr>
          </w:tbl>
          <w:p w14:paraId="72A0A6DB" w14:textId="77777777" w:rsidR="001646D1" w:rsidRDefault="001646D1" w:rsidP="00317613">
            <w:pPr>
              <w:spacing w:before="120"/>
              <w:rPr>
                <w:b/>
                <w:lang w:eastAsia="en-US"/>
              </w:rPr>
            </w:pPr>
          </w:p>
          <w:p w14:paraId="66315092" w14:textId="7DCD2C5E" w:rsidR="00D0017F" w:rsidRDefault="007A4A0A" w:rsidP="00317613">
            <w:pPr>
              <w:spacing w:before="120"/>
              <w:rPr>
                <w:b/>
                <w:lang w:eastAsia="en-US"/>
              </w:rPr>
            </w:pPr>
            <w:r>
              <w:rPr>
                <w:b/>
                <w:lang w:eastAsia="en-US"/>
              </w:rPr>
              <w:lastRenderedPageBreak/>
              <w:t>Key Stage 2</w:t>
            </w:r>
          </w:p>
          <w:p w14:paraId="148012F5" w14:textId="684F052D" w:rsidR="001B19FA" w:rsidRPr="001B19FA" w:rsidRDefault="001B19FA" w:rsidP="00317613">
            <w:pPr>
              <w:spacing w:before="120"/>
              <w:rPr>
                <w:b/>
                <w:sz w:val="20"/>
                <w:szCs w:val="20"/>
                <w:lang w:eastAsia="en-US"/>
              </w:rPr>
            </w:pPr>
            <w:r w:rsidRPr="001B19FA">
              <w:rPr>
                <w:b/>
                <w:sz w:val="20"/>
                <w:szCs w:val="20"/>
                <w:lang w:eastAsia="en-US"/>
              </w:rPr>
              <w:t xml:space="preserve">MTC – </w:t>
            </w:r>
            <w:r w:rsidRPr="001B19FA">
              <w:rPr>
                <w:sz w:val="20"/>
                <w:szCs w:val="20"/>
                <w:lang w:eastAsia="en-US"/>
              </w:rPr>
              <w:t>36% of our disadvantaged pupils succeeded on the Year 4 MTC</w:t>
            </w:r>
            <w:r w:rsidRPr="001B19FA">
              <w:rPr>
                <w:b/>
                <w:sz w:val="20"/>
                <w:szCs w:val="20"/>
                <w:lang w:eastAsia="en-US"/>
              </w:rPr>
              <w:t xml:space="preserve"> </w:t>
            </w:r>
          </w:p>
          <w:p w14:paraId="65DD81E5" w14:textId="7AEC8B07" w:rsidR="001B19FA" w:rsidRPr="001B19FA" w:rsidRDefault="001B19FA" w:rsidP="00317613">
            <w:pPr>
              <w:spacing w:before="120"/>
              <w:rPr>
                <w:sz w:val="20"/>
                <w:szCs w:val="20"/>
                <w:lang w:eastAsia="en-US"/>
              </w:rPr>
            </w:pPr>
            <w:r w:rsidRPr="001B19FA">
              <w:rPr>
                <w:b/>
                <w:sz w:val="20"/>
                <w:szCs w:val="20"/>
                <w:lang w:eastAsia="en-US"/>
              </w:rPr>
              <w:t xml:space="preserve">Year 6 </w:t>
            </w:r>
            <w:r w:rsidRPr="001B19FA">
              <w:rPr>
                <w:sz w:val="20"/>
                <w:szCs w:val="20"/>
                <w:lang w:eastAsia="en-US"/>
              </w:rPr>
              <w:t xml:space="preserve">Our disadvantaged pupils make rapid progress in writing to reach ARE by the end of Year 6, and the mastery approach to maths is also having a positive impact. </w:t>
            </w:r>
            <w:r w:rsidR="007173C7">
              <w:rPr>
                <w:sz w:val="20"/>
                <w:szCs w:val="20"/>
                <w:lang w:eastAsia="en-US"/>
              </w:rPr>
              <w:t xml:space="preserve">A </w:t>
            </w:r>
            <w:r w:rsidRPr="001B19FA">
              <w:rPr>
                <w:sz w:val="20"/>
                <w:szCs w:val="20"/>
                <w:lang w:eastAsia="en-US"/>
              </w:rPr>
              <w:t>new approach to</w:t>
            </w:r>
            <w:r w:rsidR="007173C7">
              <w:rPr>
                <w:sz w:val="20"/>
                <w:szCs w:val="20"/>
                <w:lang w:eastAsia="en-US"/>
              </w:rPr>
              <w:t xml:space="preserve"> the teaching of</w:t>
            </w:r>
            <w:r w:rsidRPr="001B19FA">
              <w:rPr>
                <w:sz w:val="20"/>
                <w:szCs w:val="20"/>
                <w:lang w:eastAsia="en-US"/>
              </w:rPr>
              <w:t xml:space="preserve"> fluency</w:t>
            </w:r>
            <w:r w:rsidR="007173C7">
              <w:rPr>
                <w:sz w:val="20"/>
                <w:szCs w:val="20"/>
                <w:lang w:eastAsia="en-US"/>
              </w:rPr>
              <w:t xml:space="preserve"> should have a positive impact </w:t>
            </w:r>
            <w:r w:rsidRPr="001B19FA">
              <w:rPr>
                <w:sz w:val="20"/>
                <w:szCs w:val="20"/>
                <w:lang w:eastAsia="en-US"/>
              </w:rPr>
              <w:t>on our reading outcomes over the coming year</w:t>
            </w:r>
            <w:r w:rsidR="007173C7">
              <w:rPr>
                <w:sz w:val="20"/>
                <w:szCs w:val="20"/>
                <w:lang w:eastAsia="en-US"/>
              </w:rPr>
              <w:t>s</w:t>
            </w:r>
            <w:r w:rsidRPr="001B19FA">
              <w:rPr>
                <w:sz w:val="20"/>
                <w:szCs w:val="20"/>
                <w:lang w:eastAsia="en-US"/>
              </w:rPr>
              <w:t xml:space="preserve">. </w:t>
            </w:r>
          </w:p>
          <w:p w14:paraId="6AA1A526" w14:textId="6C5791F5" w:rsidR="007A4A0A" w:rsidRDefault="007A4A0A" w:rsidP="00317613">
            <w:pPr>
              <w:spacing w:before="120"/>
              <w:rPr>
                <w:lang w:eastAsia="en-US"/>
              </w:rPr>
            </w:pPr>
          </w:p>
          <w:tbl>
            <w:tblPr>
              <w:tblStyle w:val="TableGrid"/>
              <w:tblW w:w="0" w:type="auto"/>
              <w:tblLook w:val="04A0" w:firstRow="1" w:lastRow="0" w:firstColumn="1" w:lastColumn="0" w:noHBand="0" w:noVBand="1"/>
            </w:tblPr>
            <w:tblGrid>
              <w:gridCol w:w="2018"/>
              <w:gridCol w:w="1665"/>
              <w:gridCol w:w="1666"/>
              <w:gridCol w:w="1665"/>
            </w:tblGrid>
            <w:tr w:rsidR="001B19FA" w:rsidRPr="007A4A0A" w14:paraId="718BAAB7" w14:textId="77777777" w:rsidTr="00091D92">
              <w:trPr>
                <w:trHeight w:val="356"/>
              </w:trPr>
              <w:tc>
                <w:tcPr>
                  <w:tcW w:w="2018" w:type="dxa"/>
                  <w:shd w:val="clear" w:color="auto" w:fill="C6D9F1" w:themeFill="text2" w:themeFillTint="33"/>
                </w:tcPr>
                <w:p w14:paraId="69EEB9F5" w14:textId="630DDC2D" w:rsidR="001B19FA" w:rsidRDefault="001B19FA" w:rsidP="001B19FA">
                  <w:pPr>
                    <w:spacing w:before="120"/>
                    <w:rPr>
                      <w:b/>
                      <w:sz w:val="18"/>
                      <w:lang w:eastAsia="en-US"/>
                    </w:rPr>
                  </w:pPr>
                  <w:r>
                    <w:rPr>
                      <w:b/>
                      <w:sz w:val="18"/>
                      <w:lang w:eastAsia="en-US"/>
                    </w:rPr>
                    <w:t>KS2</w:t>
                  </w:r>
                </w:p>
              </w:tc>
              <w:tc>
                <w:tcPr>
                  <w:tcW w:w="1665" w:type="dxa"/>
                  <w:shd w:val="clear" w:color="auto" w:fill="FFFFFF" w:themeFill="background1"/>
                </w:tcPr>
                <w:p w14:paraId="0660DE33" w14:textId="77777777" w:rsidR="001B19FA" w:rsidRPr="007A4A0A" w:rsidRDefault="001B19FA" w:rsidP="001B19FA">
                  <w:pPr>
                    <w:spacing w:before="120"/>
                    <w:rPr>
                      <w:b/>
                      <w:sz w:val="18"/>
                      <w:lang w:eastAsia="en-US"/>
                    </w:rPr>
                  </w:pPr>
                  <w:r>
                    <w:rPr>
                      <w:b/>
                      <w:sz w:val="18"/>
                      <w:lang w:eastAsia="en-US"/>
                    </w:rPr>
                    <w:t>National</w:t>
                  </w:r>
                </w:p>
              </w:tc>
              <w:tc>
                <w:tcPr>
                  <w:tcW w:w="1666" w:type="dxa"/>
                  <w:shd w:val="clear" w:color="auto" w:fill="D9D9D9" w:themeFill="background1" w:themeFillShade="D9"/>
                </w:tcPr>
                <w:p w14:paraId="4D38F71C" w14:textId="77777777" w:rsidR="001B19FA" w:rsidRPr="007A4A0A" w:rsidRDefault="001B19FA" w:rsidP="001B19FA">
                  <w:pPr>
                    <w:spacing w:before="120"/>
                    <w:rPr>
                      <w:b/>
                      <w:sz w:val="18"/>
                      <w:lang w:eastAsia="en-US"/>
                    </w:rPr>
                  </w:pPr>
                  <w:r>
                    <w:rPr>
                      <w:b/>
                      <w:sz w:val="18"/>
                      <w:lang w:eastAsia="en-US"/>
                    </w:rPr>
                    <w:t>All pupils</w:t>
                  </w:r>
                </w:p>
              </w:tc>
              <w:tc>
                <w:tcPr>
                  <w:tcW w:w="1665" w:type="dxa"/>
                  <w:shd w:val="clear" w:color="auto" w:fill="FFFFFF" w:themeFill="background1"/>
                </w:tcPr>
                <w:p w14:paraId="1D6CC9EF" w14:textId="77777777" w:rsidR="001B19FA" w:rsidRPr="007A4A0A" w:rsidRDefault="001B19FA" w:rsidP="001B19FA">
                  <w:pPr>
                    <w:spacing w:before="120"/>
                    <w:rPr>
                      <w:b/>
                      <w:sz w:val="18"/>
                      <w:lang w:eastAsia="en-US"/>
                    </w:rPr>
                  </w:pPr>
                  <w:r>
                    <w:rPr>
                      <w:b/>
                      <w:sz w:val="18"/>
                      <w:lang w:eastAsia="en-US"/>
                    </w:rPr>
                    <w:t>Disadvantaged</w:t>
                  </w:r>
                </w:p>
              </w:tc>
            </w:tr>
            <w:tr w:rsidR="001B19FA" w:rsidRPr="007A4A0A" w14:paraId="75DD2D8F" w14:textId="77777777" w:rsidTr="00091D92">
              <w:trPr>
                <w:trHeight w:val="356"/>
              </w:trPr>
              <w:tc>
                <w:tcPr>
                  <w:tcW w:w="2018" w:type="dxa"/>
                  <w:shd w:val="clear" w:color="auto" w:fill="C6D9F1" w:themeFill="text2" w:themeFillTint="33"/>
                </w:tcPr>
                <w:p w14:paraId="162126F8" w14:textId="77777777" w:rsidR="001B19FA" w:rsidRPr="007A4A0A" w:rsidRDefault="001B19FA" w:rsidP="001B19FA">
                  <w:pPr>
                    <w:spacing w:before="120"/>
                    <w:rPr>
                      <w:b/>
                      <w:sz w:val="18"/>
                      <w:lang w:eastAsia="en-US"/>
                    </w:rPr>
                  </w:pPr>
                  <w:r>
                    <w:rPr>
                      <w:b/>
                      <w:sz w:val="18"/>
                      <w:lang w:eastAsia="en-US"/>
                    </w:rPr>
                    <w:t>Combined</w:t>
                  </w:r>
                </w:p>
              </w:tc>
              <w:tc>
                <w:tcPr>
                  <w:tcW w:w="1665" w:type="dxa"/>
                  <w:shd w:val="clear" w:color="auto" w:fill="FFFFFF" w:themeFill="background1"/>
                </w:tcPr>
                <w:p w14:paraId="10E0AE92" w14:textId="7B3A4488" w:rsidR="001B19FA" w:rsidRPr="007A4A0A" w:rsidRDefault="001B19FA" w:rsidP="001B19FA">
                  <w:pPr>
                    <w:spacing w:before="120"/>
                    <w:rPr>
                      <w:b/>
                      <w:sz w:val="18"/>
                      <w:lang w:eastAsia="en-US"/>
                    </w:rPr>
                  </w:pPr>
                  <w:r>
                    <w:rPr>
                      <w:b/>
                      <w:sz w:val="18"/>
                      <w:lang w:eastAsia="en-US"/>
                    </w:rPr>
                    <w:t>59%</w:t>
                  </w:r>
                </w:p>
              </w:tc>
              <w:tc>
                <w:tcPr>
                  <w:tcW w:w="1666" w:type="dxa"/>
                  <w:shd w:val="clear" w:color="auto" w:fill="D9D9D9" w:themeFill="background1" w:themeFillShade="D9"/>
                </w:tcPr>
                <w:p w14:paraId="1695CC8A" w14:textId="0120E9FE" w:rsidR="001B19FA" w:rsidRPr="007A4A0A" w:rsidRDefault="001B19FA" w:rsidP="001B19FA">
                  <w:pPr>
                    <w:spacing w:before="120"/>
                    <w:rPr>
                      <w:b/>
                      <w:sz w:val="18"/>
                      <w:lang w:eastAsia="en-US"/>
                    </w:rPr>
                  </w:pPr>
                  <w:r>
                    <w:rPr>
                      <w:b/>
                      <w:sz w:val="18"/>
                      <w:lang w:eastAsia="en-US"/>
                    </w:rPr>
                    <w:t>51%</w:t>
                  </w:r>
                </w:p>
              </w:tc>
              <w:tc>
                <w:tcPr>
                  <w:tcW w:w="1665" w:type="dxa"/>
                  <w:shd w:val="clear" w:color="auto" w:fill="FFFFFF" w:themeFill="background1"/>
                </w:tcPr>
                <w:p w14:paraId="0BD49823" w14:textId="331A5A01" w:rsidR="001B19FA" w:rsidRPr="007A4A0A" w:rsidRDefault="001B19FA" w:rsidP="001B19FA">
                  <w:pPr>
                    <w:spacing w:before="120"/>
                    <w:rPr>
                      <w:b/>
                      <w:sz w:val="18"/>
                      <w:lang w:eastAsia="en-US"/>
                    </w:rPr>
                  </w:pPr>
                  <w:r>
                    <w:rPr>
                      <w:b/>
                      <w:sz w:val="18"/>
                      <w:lang w:eastAsia="en-US"/>
                    </w:rPr>
                    <w:t>38%</w:t>
                  </w:r>
                </w:p>
              </w:tc>
            </w:tr>
            <w:tr w:rsidR="001B19FA" w:rsidRPr="007A4A0A" w14:paraId="41B1D31A" w14:textId="77777777" w:rsidTr="00091D92">
              <w:tc>
                <w:tcPr>
                  <w:tcW w:w="2018" w:type="dxa"/>
                  <w:shd w:val="clear" w:color="auto" w:fill="C6D9F1" w:themeFill="text2" w:themeFillTint="33"/>
                </w:tcPr>
                <w:p w14:paraId="4129C5A7" w14:textId="77777777" w:rsidR="001B19FA" w:rsidRPr="007A4A0A" w:rsidRDefault="001B19FA" w:rsidP="001B19FA">
                  <w:pPr>
                    <w:spacing w:before="120"/>
                    <w:rPr>
                      <w:b/>
                      <w:sz w:val="18"/>
                      <w:lang w:eastAsia="en-US"/>
                    </w:rPr>
                  </w:pPr>
                  <w:r>
                    <w:rPr>
                      <w:b/>
                      <w:sz w:val="18"/>
                      <w:lang w:eastAsia="en-US"/>
                    </w:rPr>
                    <w:t>Reading</w:t>
                  </w:r>
                </w:p>
              </w:tc>
              <w:tc>
                <w:tcPr>
                  <w:tcW w:w="1665" w:type="dxa"/>
                  <w:shd w:val="clear" w:color="auto" w:fill="FFFFFF" w:themeFill="background1"/>
                </w:tcPr>
                <w:p w14:paraId="7A90777F" w14:textId="47E94757" w:rsidR="001B19FA" w:rsidRPr="007A4A0A" w:rsidRDefault="001B19FA" w:rsidP="001B19FA">
                  <w:pPr>
                    <w:spacing w:before="120"/>
                    <w:rPr>
                      <w:b/>
                      <w:sz w:val="18"/>
                      <w:lang w:eastAsia="en-US"/>
                    </w:rPr>
                  </w:pPr>
                  <w:r>
                    <w:rPr>
                      <w:b/>
                      <w:sz w:val="18"/>
                      <w:lang w:eastAsia="en-US"/>
                    </w:rPr>
                    <w:t>73%</w:t>
                  </w:r>
                </w:p>
              </w:tc>
              <w:tc>
                <w:tcPr>
                  <w:tcW w:w="1666" w:type="dxa"/>
                  <w:shd w:val="clear" w:color="auto" w:fill="D9D9D9" w:themeFill="background1" w:themeFillShade="D9"/>
                </w:tcPr>
                <w:p w14:paraId="13454F8E" w14:textId="169A137C" w:rsidR="001B19FA" w:rsidRPr="007A4A0A" w:rsidRDefault="001B19FA" w:rsidP="001B19FA">
                  <w:pPr>
                    <w:spacing w:before="120"/>
                    <w:rPr>
                      <w:b/>
                      <w:sz w:val="18"/>
                      <w:lang w:eastAsia="en-US"/>
                    </w:rPr>
                  </w:pPr>
                  <w:r>
                    <w:rPr>
                      <w:b/>
                      <w:sz w:val="18"/>
                      <w:lang w:eastAsia="en-US"/>
                    </w:rPr>
                    <w:t>56%</w:t>
                  </w:r>
                </w:p>
              </w:tc>
              <w:tc>
                <w:tcPr>
                  <w:tcW w:w="1665" w:type="dxa"/>
                  <w:shd w:val="clear" w:color="auto" w:fill="FFFFFF" w:themeFill="background1"/>
                </w:tcPr>
                <w:p w14:paraId="6509BD58" w14:textId="3A92092D" w:rsidR="001B19FA" w:rsidRPr="007A4A0A" w:rsidRDefault="001B19FA" w:rsidP="001B19FA">
                  <w:pPr>
                    <w:spacing w:before="120"/>
                    <w:rPr>
                      <w:b/>
                      <w:sz w:val="18"/>
                      <w:lang w:eastAsia="en-US"/>
                    </w:rPr>
                  </w:pPr>
                  <w:r>
                    <w:rPr>
                      <w:b/>
                      <w:sz w:val="18"/>
                      <w:lang w:eastAsia="en-US"/>
                    </w:rPr>
                    <w:t>44%</w:t>
                  </w:r>
                </w:p>
              </w:tc>
            </w:tr>
            <w:tr w:rsidR="001B19FA" w:rsidRPr="007A4A0A" w14:paraId="2A0B2752" w14:textId="77777777" w:rsidTr="00091D92">
              <w:tc>
                <w:tcPr>
                  <w:tcW w:w="2018" w:type="dxa"/>
                  <w:shd w:val="clear" w:color="auto" w:fill="C6D9F1" w:themeFill="text2" w:themeFillTint="33"/>
                </w:tcPr>
                <w:p w14:paraId="5DFC6921" w14:textId="77777777" w:rsidR="001B19FA" w:rsidRPr="007A4A0A" w:rsidRDefault="001B19FA" w:rsidP="001B19FA">
                  <w:pPr>
                    <w:spacing w:before="120"/>
                    <w:rPr>
                      <w:b/>
                      <w:sz w:val="18"/>
                      <w:lang w:eastAsia="en-US"/>
                    </w:rPr>
                  </w:pPr>
                  <w:r>
                    <w:rPr>
                      <w:b/>
                      <w:sz w:val="18"/>
                      <w:lang w:eastAsia="en-US"/>
                    </w:rPr>
                    <w:t>Writing</w:t>
                  </w:r>
                </w:p>
              </w:tc>
              <w:tc>
                <w:tcPr>
                  <w:tcW w:w="1665" w:type="dxa"/>
                  <w:shd w:val="clear" w:color="auto" w:fill="FFFFFF" w:themeFill="background1"/>
                </w:tcPr>
                <w:p w14:paraId="375A0B47" w14:textId="108356BE" w:rsidR="001B19FA" w:rsidRPr="007A4A0A" w:rsidRDefault="001B19FA" w:rsidP="001B19FA">
                  <w:pPr>
                    <w:spacing w:before="120"/>
                    <w:rPr>
                      <w:b/>
                      <w:sz w:val="18"/>
                      <w:lang w:eastAsia="en-US"/>
                    </w:rPr>
                  </w:pPr>
                  <w:r>
                    <w:rPr>
                      <w:b/>
                      <w:sz w:val="18"/>
                      <w:lang w:eastAsia="en-US"/>
                    </w:rPr>
                    <w:t>71%</w:t>
                  </w:r>
                </w:p>
              </w:tc>
              <w:tc>
                <w:tcPr>
                  <w:tcW w:w="1666" w:type="dxa"/>
                  <w:shd w:val="clear" w:color="auto" w:fill="D9D9D9" w:themeFill="background1" w:themeFillShade="D9"/>
                </w:tcPr>
                <w:p w14:paraId="146F790A" w14:textId="437CD591" w:rsidR="001B19FA" w:rsidRPr="007A4A0A" w:rsidRDefault="001B19FA" w:rsidP="001B19FA">
                  <w:pPr>
                    <w:spacing w:before="120"/>
                    <w:rPr>
                      <w:b/>
                      <w:sz w:val="18"/>
                      <w:lang w:eastAsia="en-US"/>
                    </w:rPr>
                  </w:pPr>
                  <w:r>
                    <w:rPr>
                      <w:b/>
                      <w:sz w:val="18"/>
                      <w:lang w:eastAsia="en-US"/>
                    </w:rPr>
                    <w:t>89%</w:t>
                  </w:r>
                </w:p>
              </w:tc>
              <w:tc>
                <w:tcPr>
                  <w:tcW w:w="1665" w:type="dxa"/>
                  <w:shd w:val="clear" w:color="auto" w:fill="FFFFFF" w:themeFill="background1"/>
                </w:tcPr>
                <w:p w14:paraId="13832ABC" w14:textId="658C8F5F" w:rsidR="001B19FA" w:rsidRPr="007A4A0A" w:rsidRDefault="001B19FA" w:rsidP="001B19FA">
                  <w:pPr>
                    <w:spacing w:before="120"/>
                    <w:rPr>
                      <w:b/>
                      <w:sz w:val="18"/>
                      <w:lang w:eastAsia="en-US"/>
                    </w:rPr>
                  </w:pPr>
                  <w:r>
                    <w:rPr>
                      <w:b/>
                      <w:sz w:val="18"/>
                      <w:lang w:eastAsia="en-US"/>
                    </w:rPr>
                    <w:t>81%</w:t>
                  </w:r>
                </w:p>
              </w:tc>
            </w:tr>
            <w:tr w:rsidR="001B19FA" w:rsidRPr="007A4A0A" w14:paraId="1E9B0401" w14:textId="77777777" w:rsidTr="00091D92">
              <w:tc>
                <w:tcPr>
                  <w:tcW w:w="2018" w:type="dxa"/>
                  <w:shd w:val="clear" w:color="auto" w:fill="C6D9F1" w:themeFill="text2" w:themeFillTint="33"/>
                </w:tcPr>
                <w:p w14:paraId="08F03109" w14:textId="77777777" w:rsidR="001B19FA" w:rsidRPr="007A4A0A" w:rsidRDefault="001B19FA" w:rsidP="001B19FA">
                  <w:pPr>
                    <w:spacing w:before="120"/>
                    <w:rPr>
                      <w:b/>
                      <w:sz w:val="18"/>
                      <w:lang w:eastAsia="en-US"/>
                    </w:rPr>
                  </w:pPr>
                  <w:r>
                    <w:rPr>
                      <w:b/>
                      <w:sz w:val="18"/>
                      <w:lang w:eastAsia="en-US"/>
                    </w:rPr>
                    <w:t>Maths</w:t>
                  </w:r>
                </w:p>
              </w:tc>
              <w:tc>
                <w:tcPr>
                  <w:tcW w:w="1665" w:type="dxa"/>
                  <w:shd w:val="clear" w:color="auto" w:fill="FFFFFF" w:themeFill="background1"/>
                </w:tcPr>
                <w:p w14:paraId="0195DB3F" w14:textId="7C5EF5D0" w:rsidR="001B19FA" w:rsidRPr="007A4A0A" w:rsidRDefault="001B19FA" w:rsidP="001B19FA">
                  <w:pPr>
                    <w:spacing w:before="120"/>
                    <w:rPr>
                      <w:b/>
                      <w:sz w:val="18"/>
                      <w:lang w:eastAsia="en-US"/>
                    </w:rPr>
                  </w:pPr>
                  <w:r>
                    <w:rPr>
                      <w:b/>
                      <w:sz w:val="18"/>
                      <w:lang w:eastAsia="en-US"/>
                    </w:rPr>
                    <w:t>73%</w:t>
                  </w:r>
                </w:p>
              </w:tc>
              <w:tc>
                <w:tcPr>
                  <w:tcW w:w="1666" w:type="dxa"/>
                  <w:shd w:val="clear" w:color="auto" w:fill="D9D9D9" w:themeFill="background1" w:themeFillShade="D9"/>
                </w:tcPr>
                <w:p w14:paraId="6D08C378" w14:textId="6EC3A4E5" w:rsidR="001B19FA" w:rsidRPr="007A4A0A" w:rsidRDefault="001B19FA" w:rsidP="001B19FA">
                  <w:pPr>
                    <w:spacing w:before="120"/>
                    <w:rPr>
                      <w:b/>
                      <w:sz w:val="18"/>
                      <w:lang w:eastAsia="en-US"/>
                    </w:rPr>
                  </w:pPr>
                  <w:r>
                    <w:rPr>
                      <w:b/>
                      <w:sz w:val="18"/>
                      <w:lang w:eastAsia="en-US"/>
                    </w:rPr>
                    <w:t>69%</w:t>
                  </w:r>
                </w:p>
              </w:tc>
              <w:tc>
                <w:tcPr>
                  <w:tcW w:w="1665" w:type="dxa"/>
                </w:tcPr>
                <w:p w14:paraId="043FCCA8" w14:textId="5DC29D6A" w:rsidR="001B19FA" w:rsidRPr="007A4A0A" w:rsidRDefault="001B19FA" w:rsidP="001B19FA">
                  <w:pPr>
                    <w:spacing w:before="120"/>
                    <w:rPr>
                      <w:b/>
                      <w:sz w:val="18"/>
                      <w:lang w:eastAsia="en-US"/>
                    </w:rPr>
                  </w:pPr>
                  <w:r>
                    <w:rPr>
                      <w:b/>
                      <w:sz w:val="18"/>
                      <w:lang w:eastAsia="en-US"/>
                    </w:rPr>
                    <w:t>63%</w:t>
                  </w:r>
                </w:p>
              </w:tc>
            </w:tr>
          </w:tbl>
          <w:p w14:paraId="1D5964D0" w14:textId="61D0D1AE" w:rsidR="00D0017F" w:rsidRDefault="00D0017F" w:rsidP="00317613">
            <w:pPr>
              <w:spacing w:before="120"/>
              <w:rPr>
                <w:b/>
                <w:lang w:eastAsia="en-US"/>
              </w:rPr>
            </w:pPr>
          </w:p>
          <w:p w14:paraId="2308FB8C" w14:textId="6BC3F7FF" w:rsidR="007B08BC" w:rsidRDefault="009242B7" w:rsidP="00317613">
            <w:pPr>
              <w:spacing w:before="120"/>
              <w:rPr>
                <w:b/>
                <w:lang w:eastAsia="en-US"/>
              </w:rPr>
            </w:pPr>
            <w:r>
              <w:rPr>
                <w:b/>
                <w:lang w:eastAsia="en-US"/>
              </w:rPr>
              <w:t>Attendance Figures 202</w:t>
            </w:r>
            <w:r w:rsidR="00AF75E4">
              <w:rPr>
                <w:b/>
                <w:lang w:eastAsia="en-US"/>
              </w:rPr>
              <w:t>2</w:t>
            </w:r>
            <w:r>
              <w:rPr>
                <w:b/>
                <w:lang w:eastAsia="en-US"/>
              </w:rPr>
              <w:t>-2</w:t>
            </w:r>
            <w:r w:rsidR="00AF75E4">
              <w:rPr>
                <w:b/>
                <w:lang w:eastAsia="en-US"/>
              </w:rPr>
              <w:t>3</w:t>
            </w:r>
          </w:p>
          <w:p w14:paraId="03CBD490" w14:textId="7BE08CB4" w:rsidR="0090212B" w:rsidRPr="007173C7" w:rsidRDefault="0090212B" w:rsidP="00317613">
            <w:pPr>
              <w:spacing w:before="120"/>
              <w:rPr>
                <w:sz w:val="20"/>
                <w:szCs w:val="20"/>
                <w:lang w:eastAsia="en-US"/>
              </w:rPr>
            </w:pPr>
            <w:r w:rsidRPr="007173C7">
              <w:rPr>
                <w:sz w:val="20"/>
                <w:szCs w:val="20"/>
                <w:lang w:eastAsia="en-US"/>
              </w:rPr>
              <w:t>There is still a gap between the attendance of disadvantaged pupils and their peers, but this is reducing overall. Intervention from the Attendance Team is making a difference for some vulnerable families</w:t>
            </w:r>
            <w:r w:rsidR="00E11321">
              <w:rPr>
                <w:sz w:val="20"/>
                <w:szCs w:val="20"/>
                <w:lang w:eastAsia="en-US"/>
              </w:rPr>
              <w:t xml:space="preserve"> where barriers are removed. </w:t>
            </w:r>
          </w:p>
          <w:tbl>
            <w:tblPr>
              <w:tblStyle w:val="TableGrid"/>
              <w:tblW w:w="0" w:type="auto"/>
              <w:tblLook w:val="04A0" w:firstRow="1" w:lastRow="0" w:firstColumn="1" w:lastColumn="0" w:noHBand="0" w:noVBand="1"/>
            </w:tblPr>
            <w:tblGrid>
              <w:gridCol w:w="1593"/>
              <w:gridCol w:w="2693"/>
            </w:tblGrid>
            <w:tr w:rsidR="007173C7" w14:paraId="2786C5F5" w14:textId="77777777" w:rsidTr="0010005E">
              <w:trPr>
                <w:trHeight w:val="731"/>
              </w:trPr>
              <w:tc>
                <w:tcPr>
                  <w:tcW w:w="1593" w:type="dxa"/>
                  <w:shd w:val="clear" w:color="auto" w:fill="C6D9F1" w:themeFill="text2" w:themeFillTint="33"/>
                </w:tcPr>
                <w:p w14:paraId="09BC5E52" w14:textId="3BCC1007" w:rsidR="007173C7" w:rsidRPr="0010005E" w:rsidRDefault="007173C7" w:rsidP="0010005E">
                  <w:pPr>
                    <w:spacing w:before="120"/>
                    <w:jc w:val="center"/>
                    <w:rPr>
                      <w:b/>
                      <w:sz w:val="20"/>
                      <w:lang w:eastAsia="en-US"/>
                    </w:rPr>
                  </w:pPr>
                  <w:r w:rsidRPr="0010005E">
                    <w:rPr>
                      <w:b/>
                      <w:sz w:val="20"/>
                      <w:lang w:eastAsia="en-US"/>
                    </w:rPr>
                    <w:t>Cohort</w:t>
                  </w:r>
                </w:p>
                <w:p w14:paraId="57C15CA6" w14:textId="24CF8D27" w:rsidR="007173C7" w:rsidRPr="0010005E" w:rsidRDefault="007173C7" w:rsidP="0010005E">
                  <w:pPr>
                    <w:spacing w:before="120"/>
                    <w:jc w:val="center"/>
                    <w:rPr>
                      <w:b/>
                      <w:sz w:val="20"/>
                      <w:lang w:eastAsia="en-US"/>
                    </w:rPr>
                  </w:pPr>
                </w:p>
              </w:tc>
              <w:tc>
                <w:tcPr>
                  <w:tcW w:w="2693" w:type="dxa"/>
                  <w:shd w:val="clear" w:color="auto" w:fill="C6D9F1" w:themeFill="text2" w:themeFillTint="33"/>
                </w:tcPr>
                <w:p w14:paraId="44B59F43" w14:textId="77777777" w:rsidR="007173C7" w:rsidRPr="0010005E" w:rsidRDefault="007173C7" w:rsidP="0010005E">
                  <w:pPr>
                    <w:spacing w:before="120"/>
                    <w:jc w:val="center"/>
                    <w:rPr>
                      <w:b/>
                      <w:sz w:val="20"/>
                      <w:lang w:eastAsia="en-US"/>
                    </w:rPr>
                  </w:pPr>
                  <w:r w:rsidRPr="0010005E">
                    <w:rPr>
                      <w:b/>
                      <w:sz w:val="20"/>
                      <w:lang w:eastAsia="en-US"/>
                    </w:rPr>
                    <w:t>Disadvantaged</w:t>
                  </w:r>
                </w:p>
                <w:p w14:paraId="300C2193" w14:textId="2918F2A2" w:rsidR="007173C7" w:rsidRPr="0010005E" w:rsidRDefault="007173C7" w:rsidP="0010005E">
                  <w:pPr>
                    <w:spacing w:before="120"/>
                    <w:jc w:val="center"/>
                    <w:rPr>
                      <w:b/>
                      <w:sz w:val="20"/>
                      <w:lang w:eastAsia="en-US"/>
                    </w:rPr>
                  </w:pPr>
                  <w:r w:rsidRPr="0010005E">
                    <w:rPr>
                      <w:b/>
                      <w:sz w:val="20"/>
                      <w:lang w:eastAsia="en-US"/>
                    </w:rPr>
                    <w:t>Attendance</w:t>
                  </w:r>
                </w:p>
              </w:tc>
            </w:tr>
            <w:tr w:rsidR="007173C7" w14:paraId="38C5E32D" w14:textId="77777777" w:rsidTr="0010005E">
              <w:tc>
                <w:tcPr>
                  <w:tcW w:w="1593" w:type="dxa"/>
                  <w:shd w:val="clear" w:color="auto" w:fill="C6D9F1" w:themeFill="text2" w:themeFillTint="33"/>
                </w:tcPr>
                <w:p w14:paraId="78650478" w14:textId="438BF414" w:rsidR="007173C7" w:rsidRPr="0010005E" w:rsidRDefault="007173C7" w:rsidP="00317613">
                  <w:pPr>
                    <w:spacing w:before="120"/>
                    <w:rPr>
                      <w:b/>
                      <w:sz w:val="20"/>
                      <w:lang w:eastAsia="en-US"/>
                    </w:rPr>
                  </w:pPr>
                  <w:r>
                    <w:rPr>
                      <w:b/>
                      <w:sz w:val="20"/>
                      <w:lang w:eastAsia="en-US"/>
                    </w:rPr>
                    <w:t>2020-2021</w:t>
                  </w:r>
                </w:p>
              </w:tc>
              <w:tc>
                <w:tcPr>
                  <w:tcW w:w="2693" w:type="dxa"/>
                </w:tcPr>
                <w:p w14:paraId="56695FD6" w14:textId="5AE2B8B7" w:rsidR="007173C7" w:rsidRPr="0010005E" w:rsidRDefault="007173C7" w:rsidP="00317613">
                  <w:pPr>
                    <w:spacing w:before="120"/>
                    <w:rPr>
                      <w:b/>
                      <w:sz w:val="20"/>
                      <w:lang w:eastAsia="en-US"/>
                    </w:rPr>
                  </w:pPr>
                  <w:r>
                    <w:rPr>
                      <w:b/>
                      <w:sz w:val="20"/>
                      <w:lang w:eastAsia="en-US"/>
                    </w:rPr>
                    <w:t>93.1%</w:t>
                  </w:r>
                </w:p>
              </w:tc>
            </w:tr>
            <w:tr w:rsidR="007173C7" w14:paraId="1F6E5AA2" w14:textId="77777777" w:rsidTr="0010005E">
              <w:tc>
                <w:tcPr>
                  <w:tcW w:w="1593" w:type="dxa"/>
                  <w:shd w:val="clear" w:color="auto" w:fill="C6D9F1" w:themeFill="text2" w:themeFillTint="33"/>
                </w:tcPr>
                <w:p w14:paraId="1AA9170F" w14:textId="008E0C5E" w:rsidR="007173C7" w:rsidRPr="0010005E" w:rsidRDefault="007173C7" w:rsidP="00317613">
                  <w:pPr>
                    <w:spacing w:before="120"/>
                    <w:rPr>
                      <w:b/>
                      <w:sz w:val="20"/>
                      <w:lang w:eastAsia="en-US"/>
                    </w:rPr>
                  </w:pPr>
                  <w:r>
                    <w:rPr>
                      <w:b/>
                      <w:sz w:val="20"/>
                      <w:lang w:eastAsia="en-US"/>
                    </w:rPr>
                    <w:t>2021-2022</w:t>
                  </w:r>
                </w:p>
              </w:tc>
              <w:tc>
                <w:tcPr>
                  <w:tcW w:w="2693" w:type="dxa"/>
                </w:tcPr>
                <w:p w14:paraId="63E64887" w14:textId="7E0E92BD" w:rsidR="007173C7" w:rsidRPr="0010005E" w:rsidRDefault="007173C7" w:rsidP="00317613">
                  <w:pPr>
                    <w:spacing w:before="120"/>
                    <w:rPr>
                      <w:b/>
                      <w:sz w:val="20"/>
                      <w:lang w:eastAsia="en-US"/>
                    </w:rPr>
                  </w:pPr>
                  <w:r>
                    <w:rPr>
                      <w:b/>
                      <w:sz w:val="20"/>
                      <w:lang w:eastAsia="en-US"/>
                    </w:rPr>
                    <w:t>91.2%</w:t>
                  </w:r>
                </w:p>
              </w:tc>
            </w:tr>
            <w:tr w:rsidR="007173C7" w14:paraId="54678E51" w14:textId="77777777" w:rsidTr="0010005E">
              <w:tc>
                <w:tcPr>
                  <w:tcW w:w="1593" w:type="dxa"/>
                  <w:shd w:val="clear" w:color="auto" w:fill="C6D9F1" w:themeFill="text2" w:themeFillTint="33"/>
                </w:tcPr>
                <w:p w14:paraId="15E4EBA4" w14:textId="12EDD225" w:rsidR="007173C7" w:rsidRDefault="007173C7" w:rsidP="00317613">
                  <w:pPr>
                    <w:spacing w:before="120"/>
                    <w:rPr>
                      <w:b/>
                      <w:sz w:val="20"/>
                      <w:lang w:eastAsia="en-US"/>
                    </w:rPr>
                  </w:pPr>
                  <w:r>
                    <w:rPr>
                      <w:b/>
                      <w:sz w:val="20"/>
                      <w:lang w:eastAsia="en-US"/>
                    </w:rPr>
                    <w:t>2022-2023</w:t>
                  </w:r>
                </w:p>
              </w:tc>
              <w:tc>
                <w:tcPr>
                  <w:tcW w:w="2693" w:type="dxa"/>
                </w:tcPr>
                <w:p w14:paraId="0A30A1C9" w14:textId="438D6856" w:rsidR="007173C7" w:rsidRDefault="007173C7" w:rsidP="00317613">
                  <w:pPr>
                    <w:spacing w:before="120"/>
                    <w:rPr>
                      <w:b/>
                      <w:sz w:val="20"/>
                      <w:lang w:eastAsia="en-US"/>
                    </w:rPr>
                  </w:pPr>
                  <w:r>
                    <w:rPr>
                      <w:b/>
                      <w:sz w:val="20"/>
                      <w:lang w:eastAsia="en-US"/>
                    </w:rPr>
                    <w:t>91.1%</w:t>
                  </w:r>
                </w:p>
              </w:tc>
            </w:tr>
          </w:tbl>
          <w:p w14:paraId="2A7D5546" w14:textId="1E6B0875" w:rsidR="00411FF4" w:rsidRDefault="00411FF4" w:rsidP="0010005E">
            <w:pPr>
              <w:spacing w:before="120"/>
            </w:pPr>
          </w:p>
        </w:tc>
      </w:tr>
    </w:tbl>
    <w:p w14:paraId="2A7D555F" w14:textId="77777777" w:rsidR="00E66558" w:rsidRDefault="00E66558">
      <w:pPr>
        <w:spacing w:after="0" w:line="240" w:lineRule="auto"/>
      </w:pPr>
    </w:p>
    <w:bookmarkEnd w:id="14"/>
    <w:bookmarkEnd w:id="15"/>
    <w:bookmarkEnd w:id="16"/>
    <w:p w14:paraId="2A7D5564" w14:textId="49FE4DA3" w:rsidR="00E66558" w:rsidRDefault="00E66558"/>
    <w:p w14:paraId="3BF5400E" w14:textId="77777777" w:rsidR="000C7979" w:rsidRDefault="000C7979"/>
    <w:sectPr w:rsidR="000C7979">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50CD77E5" w:rsidR="005E28A4" w:rsidRDefault="009D71E8">
    <w:pPr>
      <w:pStyle w:val="Footer"/>
      <w:ind w:firstLine="4513"/>
    </w:pPr>
    <w:r>
      <w:fldChar w:fldCharType="begin"/>
    </w:r>
    <w:r>
      <w:instrText xml:space="preserve"> PAGE </w:instrText>
    </w:r>
    <w:r>
      <w:fldChar w:fldCharType="separate"/>
    </w:r>
    <w:r w:rsidR="00BF19F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815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26221AA"/>
    <w:multiLevelType w:val="hybridMultilevel"/>
    <w:tmpl w:val="5C1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A02D3"/>
    <w:multiLevelType w:val="hybridMultilevel"/>
    <w:tmpl w:val="096278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EF126A"/>
    <w:multiLevelType w:val="hybridMultilevel"/>
    <w:tmpl w:val="3D4CE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A5114"/>
    <w:multiLevelType w:val="hybridMultilevel"/>
    <w:tmpl w:val="7138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
  </w:num>
  <w:num w:numId="2">
    <w:abstractNumId w:val="1"/>
  </w:num>
  <w:num w:numId="3">
    <w:abstractNumId w:val="4"/>
  </w:num>
  <w:num w:numId="4">
    <w:abstractNumId w:val="5"/>
  </w:num>
  <w:num w:numId="5">
    <w:abstractNumId w:val="0"/>
  </w:num>
  <w:num w:numId="6">
    <w:abstractNumId w:val="8"/>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6"/>
  </w:num>
  <w:num w:numId="15">
    <w:abstractNumId w:val="9"/>
  </w:num>
  <w:num w:numId="16">
    <w:abstractNumId w:val="7"/>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0D54"/>
    <w:rsid w:val="00037BA5"/>
    <w:rsid w:val="00066B73"/>
    <w:rsid w:val="00067172"/>
    <w:rsid w:val="00067B9A"/>
    <w:rsid w:val="000C2F0C"/>
    <w:rsid w:val="000C7979"/>
    <w:rsid w:val="000E2C9A"/>
    <w:rsid w:val="0010005E"/>
    <w:rsid w:val="00120AB1"/>
    <w:rsid w:val="00121EB0"/>
    <w:rsid w:val="001646D1"/>
    <w:rsid w:val="001B19FA"/>
    <w:rsid w:val="001E3AD8"/>
    <w:rsid w:val="00211015"/>
    <w:rsid w:val="00260D24"/>
    <w:rsid w:val="002664C3"/>
    <w:rsid w:val="00317613"/>
    <w:rsid w:val="0033702F"/>
    <w:rsid w:val="00356A2A"/>
    <w:rsid w:val="003C63AF"/>
    <w:rsid w:val="003D314A"/>
    <w:rsid w:val="004044AA"/>
    <w:rsid w:val="00411FF4"/>
    <w:rsid w:val="0044223B"/>
    <w:rsid w:val="00451FB3"/>
    <w:rsid w:val="0049594B"/>
    <w:rsid w:val="0051548E"/>
    <w:rsid w:val="00517315"/>
    <w:rsid w:val="00523EC3"/>
    <w:rsid w:val="00590225"/>
    <w:rsid w:val="005D0840"/>
    <w:rsid w:val="005E4A44"/>
    <w:rsid w:val="0062389E"/>
    <w:rsid w:val="00624A76"/>
    <w:rsid w:val="00625824"/>
    <w:rsid w:val="0065480B"/>
    <w:rsid w:val="006758AB"/>
    <w:rsid w:val="00684F80"/>
    <w:rsid w:val="00686948"/>
    <w:rsid w:val="00692185"/>
    <w:rsid w:val="006E7FB1"/>
    <w:rsid w:val="00704FD5"/>
    <w:rsid w:val="007110F3"/>
    <w:rsid w:val="007173C7"/>
    <w:rsid w:val="00741B9E"/>
    <w:rsid w:val="007A4A0A"/>
    <w:rsid w:val="007B08BC"/>
    <w:rsid w:val="007C2F04"/>
    <w:rsid w:val="00815BEF"/>
    <w:rsid w:val="008A6C52"/>
    <w:rsid w:val="0090212B"/>
    <w:rsid w:val="009242B7"/>
    <w:rsid w:val="009A2A59"/>
    <w:rsid w:val="009D71E8"/>
    <w:rsid w:val="009E7C71"/>
    <w:rsid w:val="00A51A75"/>
    <w:rsid w:val="00A63116"/>
    <w:rsid w:val="00A83E3B"/>
    <w:rsid w:val="00AC3740"/>
    <w:rsid w:val="00AD27B3"/>
    <w:rsid w:val="00AF75E4"/>
    <w:rsid w:val="00BF19F3"/>
    <w:rsid w:val="00C10F99"/>
    <w:rsid w:val="00CA11F7"/>
    <w:rsid w:val="00CB3E4B"/>
    <w:rsid w:val="00CD3928"/>
    <w:rsid w:val="00D0017F"/>
    <w:rsid w:val="00D33FE5"/>
    <w:rsid w:val="00D677A2"/>
    <w:rsid w:val="00DD4693"/>
    <w:rsid w:val="00E03D43"/>
    <w:rsid w:val="00E0674C"/>
    <w:rsid w:val="00E11321"/>
    <w:rsid w:val="00E66558"/>
    <w:rsid w:val="00E903FB"/>
    <w:rsid w:val="00E97FA5"/>
    <w:rsid w:val="00EB7908"/>
    <w:rsid w:val="00ED6183"/>
    <w:rsid w:val="00F1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9FA"/>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1"/>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5E4A44"/>
    <w:pPr>
      <w:suppressAutoHyphens/>
    </w:pPr>
    <w:rPr>
      <w:color w:val="0D0D0D"/>
      <w:sz w:val="24"/>
      <w:szCs w:val="24"/>
    </w:rPr>
  </w:style>
  <w:style w:type="paragraph" w:styleId="NormalWeb">
    <w:name w:val="Normal (Web)"/>
    <w:basedOn w:val="Normal"/>
    <w:uiPriority w:val="99"/>
    <w:unhideWhenUsed/>
    <w:rsid w:val="00067172"/>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684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1F7"/>
    <w:pPr>
      <w:autoSpaceDE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9801">
      <w:bodyDiv w:val="1"/>
      <w:marLeft w:val="0"/>
      <w:marRight w:val="0"/>
      <w:marTop w:val="0"/>
      <w:marBottom w:val="0"/>
      <w:divBdr>
        <w:top w:val="none" w:sz="0" w:space="0" w:color="auto"/>
        <w:left w:val="none" w:sz="0" w:space="0" w:color="auto"/>
        <w:bottom w:val="none" w:sz="0" w:space="0" w:color="auto"/>
        <w:right w:val="none" w:sz="0" w:space="0" w:color="auto"/>
      </w:divBdr>
      <w:divsChild>
        <w:div w:id="68121648">
          <w:marLeft w:val="0"/>
          <w:marRight w:val="0"/>
          <w:marTop w:val="0"/>
          <w:marBottom w:val="0"/>
          <w:divBdr>
            <w:top w:val="none" w:sz="0" w:space="0" w:color="auto"/>
            <w:left w:val="none" w:sz="0" w:space="0" w:color="auto"/>
            <w:bottom w:val="none" w:sz="0" w:space="0" w:color="auto"/>
            <w:right w:val="none" w:sz="0" w:space="0" w:color="auto"/>
          </w:divBdr>
          <w:divsChild>
            <w:div w:id="1999842140">
              <w:marLeft w:val="0"/>
              <w:marRight w:val="0"/>
              <w:marTop w:val="0"/>
              <w:marBottom w:val="0"/>
              <w:divBdr>
                <w:top w:val="none" w:sz="0" w:space="0" w:color="auto"/>
                <w:left w:val="none" w:sz="0" w:space="0" w:color="auto"/>
                <w:bottom w:val="none" w:sz="0" w:space="0" w:color="auto"/>
                <w:right w:val="none" w:sz="0" w:space="0" w:color="auto"/>
              </w:divBdr>
              <w:divsChild>
                <w:div w:id="847982341">
                  <w:marLeft w:val="0"/>
                  <w:marRight w:val="0"/>
                  <w:marTop w:val="0"/>
                  <w:marBottom w:val="0"/>
                  <w:divBdr>
                    <w:top w:val="none" w:sz="0" w:space="0" w:color="auto"/>
                    <w:left w:val="none" w:sz="0" w:space="0" w:color="auto"/>
                    <w:bottom w:val="none" w:sz="0" w:space="0" w:color="auto"/>
                    <w:right w:val="none" w:sz="0" w:space="0" w:color="auto"/>
                  </w:divBdr>
                  <w:divsChild>
                    <w:div w:id="1809468278">
                      <w:marLeft w:val="0"/>
                      <w:marRight w:val="0"/>
                      <w:marTop w:val="0"/>
                      <w:marBottom w:val="0"/>
                      <w:divBdr>
                        <w:top w:val="none" w:sz="0" w:space="0" w:color="auto"/>
                        <w:left w:val="none" w:sz="0" w:space="0" w:color="auto"/>
                        <w:bottom w:val="none" w:sz="0" w:space="0" w:color="auto"/>
                        <w:right w:val="none" w:sz="0" w:space="0" w:color="auto"/>
                      </w:divBdr>
                      <w:divsChild>
                        <w:div w:id="1196039893">
                          <w:marLeft w:val="0"/>
                          <w:marRight w:val="0"/>
                          <w:marTop w:val="0"/>
                          <w:marBottom w:val="0"/>
                          <w:divBdr>
                            <w:top w:val="none" w:sz="0" w:space="0" w:color="auto"/>
                            <w:left w:val="none" w:sz="0" w:space="0" w:color="auto"/>
                            <w:bottom w:val="none" w:sz="0" w:space="0" w:color="auto"/>
                            <w:right w:val="none" w:sz="0" w:space="0" w:color="auto"/>
                          </w:divBdr>
                          <w:divsChild>
                            <w:div w:id="2898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8938">
                      <w:marLeft w:val="0"/>
                      <w:marRight w:val="0"/>
                      <w:marTop w:val="0"/>
                      <w:marBottom w:val="0"/>
                      <w:divBdr>
                        <w:top w:val="none" w:sz="0" w:space="0" w:color="auto"/>
                        <w:left w:val="none" w:sz="0" w:space="0" w:color="auto"/>
                        <w:bottom w:val="none" w:sz="0" w:space="0" w:color="auto"/>
                        <w:right w:val="none" w:sz="0" w:space="0" w:color="auto"/>
                      </w:divBdr>
                      <w:divsChild>
                        <w:div w:id="647711586">
                          <w:marLeft w:val="0"/>
                          <w:marRight w:val="0"/>
                          <w:marTop w:val="0"/>
                          <w:marBottom w:val="0"/>
                          <w:divBdr>
                            <w:top w:val="none" w:sz="0" w:space="0" w:color="auto"/>
                            <w:left w:val="none" w:sz="0" w:space="0" w:color="auto"/>
                            <w:bottom w:val="none" w:sz="0" w:space="0" w:color="auto"/>
                            <w:right w:val="none" w:sz="0" w:space="0" w:color="auto"/>
                          </w:divBdr>
                          <w:divsChild>
                            <w:div w:id="1346401262">
                              <w:marLeft w:val="0"/>
                              <w:marRight w:val="0"/>
                              <w:marTop w:val="0"/>
                              <w:marBottom w:val="0"/>
                              <w:divBdr>
                                <w:top w:val="none" w:sz="0" w:space="0" w:color="auto"/>
                                <w:left w:val="none" w:sz="0" w:space="0" w:color="auto"/>
                                <w:bottom w:val="none" w:sz="0" w:space="0" w:color="auto"/>
                                <w:right w:val="none" w:sz="0" w:space="0" w:color="auto"/>
                              </w:divBdr>
                              <w:divsChild>
                                <w:div w:id="1671249282">
                                  <w:marLeft w:val="0"/>
                                  <w:marRight w:val="0"/>
                                  <w:marTop w:val="0"/>
                                  <w:marBottom w:val="0"/>
                                  <w:divBdr>
                                    <w:top w:val="none" w:sz="0" w:space="0" w:color="auto"/>
                                    <w:left w:val="none" w:sz="0" w:space="0" w:color="auto"/>
                                    <w:bottom w:val="none" w:sz="0" w:space="0" w:color="auto"/>
                                    <w:right w:val="none" w:sz="0" w:space="0" w:color="auto"/>
                                  </w:divBdr>
                                  <w:divsChild>
                                    <w:div w:id="2092314343">
                                      <w:marLeft w:val="0"/>
                                      <w:marRight w:val="0"/>
                                      <w:marTop w:val="0"/>
                                      <w:marBottom w:val="0"/>
                                      <w:divBdr>
                                        <w:top w:val="none" w:sz="0" w:space="0" w:color="auto"/>
                                        <w:left w:val="none" w:sz="0" w:space="0" w:color="auto"/>
                                        <w:bottom w:val="none" w:sz="0" w:space="0" w:color="auto"/>
                                        <w:right w:val="none" w:sz="0" w:space="0" w:color="auto"/>
                                      </w:divBdr>
                                      <w:divsChild>
                                        <w:div w:id="3689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Julie Dunderdale Smith</cp:lastModifiedBy>
  <cp:revision>3</cp:revision>
  <cp:lastPrinted>2014-09-17T13:26:00Z</cp:lastPrinted>
  <dcterms:created xsi:type="dcterms:W3CDTF">2024-01-09T17:11:00Z</dcterms:created>
  <dcterms:modified xsi:type="dcterms:W3CDTF">2024-01-09T17:23:00Z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